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86B2E" w14:textId="64D7D601" w:rsidR="00BF55A5" w:rsidRPr="001772FD" w:rsidRDefault="00BF55A5" w:rsidP="00BF55A5">
      <w:pPr>
        <w:tabs>
          <w:tab w:val="left" w:pos="1701"/>
          <w:tab w:val="right" w:pos="9639"/>
        </w:tabs>
        <w:overflowPunct w:val="0"/>
        <w:autoSpaceDE w:val="0"/>
        <w:autoSpaceDN w:val="0"/>
        <w:adjustRightInd w:val="0"/>
        <w:spacing w:after="60" w:line="240" w:lineRule="auto"/>
        <w:jc w:val="both"/>
        <w:rPr>
          <w:rFonts w:ascii="Arial" w:eastAsia="Times New Roman" w:hAnsi="Arial" w:cs="Times New Roman"/>
          <w:b/>
          <w:sz w:val="32"/>
          <w:szCs w:val="32"/>
          <w:lang w:eastAsia="zh-CN"/>
        </w:rPr>
      </w:pPr>
      <w:bookmarkStart w:id="0" w:name="_GoBack"/>
      <w:bookmarkEnd w:id="0"/>
      <w:r w:rsidRPr="001772FD">
        <w:rPr>
          <w:rFonts w:ascii="Arial" w:eastAsia="Times New Roman" w:hAnsi="Arial" w:cs="Times New Roman"/>
          <w:b/>
          <w:sz w:val="24"/>
          <w:szCs w:val="20"/>
          <w:lang w:eastAsia="zh-CN"/>
        </w:rPr>
        <w:t>3GPP TSG RAN WG1 Meeting #9</w:t>
      </w:r>
      <w:r w:rsidR="00F93282">
        <w:rPr>
          <w:rFonts w:ascii="Arial" w:eastAsia="Times New Roman" w:hAnsi="Arial" w:cs="Times New Roman"/>
          <w:b/>
          <w:sz w:val="24"/>
          <w:szCs w:val="20"/>
          <w:lang w:eastAsia="zh-CN"/>
        </w:rPr>
        <w:t>8</w:t>
      </w:r>
      <w:r w:rsidR="00BA7540">
        <w:rPr>
          <w:rFonts w:ascii="Arial" w:eastAsia="Times New Roman" w:hAnsi="Arial" w:cs="Times New Roman"/>
          <w:b/>
          <w:sz w:val="24"/>
          <w:szCs w:val="20"/>
          <w:lang w:eastAsia="zh-CN"/>
        </w:rPr>
        <w:t>bis</w:t>
      </w:r>
      <w:r w:rsidRPr="001772FD">
        <w:rPr>
          <w:rFonts w:ascii="Arial" w:eastAsia="Times New Roman" w:hAnsi="Arial" w:cs="Times New Roman"/>
          <w:b/>
          <w:sz w:val="24"/>
          <w:szCs w:val="20"/>
          <w:lang w:eastAsia="zh-CN"/>
        </w:rPr>
        <w:tab/>
      </w:r>
      <w:r w:rsidRPr="001772FD">
        <w:rPr>
          <w:rFonts w:ascii="Arial" w:eastAsia="Times New Roman" w:hAnsi="Arial" w:cs="Times New Roman"/>
          <w:b/>
          <w:sz w:val="32"/>
          <w:szCs w:val="32"/>
          <w:lang w:eastAsia="zh-CN"/>
        </w:rPr>
        <w:t>R1-</w:t>
      </w:r>
      <w:r w:rsidR="001907CB" w:rsidRPr="001907CB">
        <w:rPr>
          <w:rFonts w:ascii="Arial" w:eastAsia="Times New Roman" w:hAnsi="Arial" w:cs="Times New Roman"/>
          <w:b/>
          <w:sz w:val="32"/>
          <w:szCs w:val="32"/>
          <w:lang w:eastAsia="zh-CN"/>
        </w:rPr>
        <w:t>19</w:t>
      </w:r>
      <w:r w:rsidR="00BA7540">
        <w:rPr>
          <w:rFonts w:ascii="Arial" w:eastAsia="Times New Roman" w:hAnsi="Arial" w:cs="Times New Roman"/>
          <w:b/>
          <w:sz w:val="32"/>
          <w:szCs w:val="32"/>
          <w:lang w:eastAsia="zh-CN"/>
        </w:rPr>
        <w:t>10872</w:t>
      </w:r>
    </w:p>
    <w:p w14:paraId="1554BB00" w14:textId="121EBDB9" w:rsidR="00BF55A5" w:rsidRPr="00BF55A5" w:rsidRDefault="00BA7540"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eastAsia="zh-CN"/>
        </w:rPr>
      </w:pPr>
      <w:r>
        <w:rPr>
          <w:rFonts w:ascii="Arial" w:eastAsia="Times New Roman" w:hAnsi="Arial" w:cs="Times New Roman"/>
          <w:b/>
          <w:sz w:val="24"/>
          <w:szCs w:val="20"/>
          <w:lang w:eastAsia="zh-CN"/>
        </w:rPr>
        <w:t>Chongqing, China</w:t>
      </w:r>
      <w:r w:rsidR="00522137">
        <w:rPr>
          <w:rFonts w:ascii="Arial" w:eastAsia="Times New Roman" w:hAnsi="Arial" w:cs="Times New Roman"/>
          <w:b/>
          <w:sz w:val="24"/>
          <w:szCs w:val="20"/>
          <w:lang w:eastAsia="zh-CN"/>
        </w:rPr>
        <w:t>,</w:t>
      </w:r>
      <w:r w:rsidR="00590780">
        <w:rPr>
          <w:rFonts w:ascii="Arial" w:eastAsia="Times New Roman" w:hAnsi="Arial" w:cs="Times New Roman"/>
          <w:b/>
          <w:sz w:val="24"/>
          <w:szCs w:val="20"/>
          <w:lang w:eastAsia="zh-CN"/>
        </w:rPr>
        <w:t xml:space="preserve"> </w:t>
      </w:r>
      <w:r>
        <w:rPr>
          <w:rFonts w:ascii="Arial" w:eastAsia="Times New Roman" w:hAnsi="Arial" w:cs="Times New Roman"/>
          <w:b/>
          <w:sz w:val="24"/>
          <w:szCs w:val="20"/>
          <w:lang w:eastAsia="zh-CN"/>
        </w:rPr>
        <w:t>14</w:t>
      </w:r>
      <w:r w:rsidRPr="00BA7540">
        <w:rPr>
          <w:rFonts w:ascii="Arial" w:eastAsia="Times New Roman" w:hAnsi="Arial" w:cs="Times New Roman"/>
          <w:b/>
          <w:sz w:val="24"/>
          <w:szCs w:val="20"/>
          <w:vertAlign w:val="superscript"/>
          <w:lang w:eastAsia="zh-CN"/>
        </w:rPr>
        <w:t>th</w:t>
      </w:r>
      <w:r>
        <w:rPr>
          <w:rFonts w:ascii="Arial" w:eastAsia="Times New Roman" w:hAnsi="Arial" w:cs="Times New Roman"/>
          <w:b/>
          <w:sz w:val="24"/>
          <w:szCs w:val="20"/>
          <w:lang w:eastAsia="zh-CN"/>
        </w:rPr>
        <w:t xml:space="preserve"> – 20</w:t>
      </w:r>
      <w:r w:rsidRPr="00BA7540">
        <w:rPr>
          <w:rFonts w:ascii="Arial" w:eastAsia="Times New Roman" w:hAnsi="Arial" w:cs="Times New Roman"/>
          <w:b/>
          <w:sz w:val="24"/>
          <w:szCs w:val="20"/>
          <w:vertAlign w:val="superscript"/>
          <w:lang w:eastAsia="zh-CN"/>
        </w:rPr>
        <w:t>th</w:t>
      </w:r>
      <w:r>
        <w:rPr>
          <w:rFonts w:ascii="Arial" w:eastAsia="Times New Roman" w:hAnsi="Arial" w:cs="Times New Roman"/>
          <w:b/>
          <w:sz w:val="24"/>
          <w:szCs w:val="20"/>
          <w:lang w:eastAsia="zh-CN"/>
        </w:rPr>
        <w:t xml:space="preserve"> October</w:t>
      </w:r>
      <w:r w:rsidR="00BF55A5" w:rsidRPr="00BF55A5">
        <w:rPr>
          <w:rFonts w:ascii="Arial" w:eastAsia="Times New Roman" w:hAnsi="Arial" w:cs="Times New Roman"/>
          <w:b/>
          <w:sz w:val="24"/>
          <w:szCs w:val="20"/>
          <w:lang w:eastAsia="zh-CN"/>
        </w:rPr>
        <w:t xml:space="preserve"> 201</w:t>
      </w:r>
      <w:r w:rsidR="00150516">
        <w:rPr>
          <w:rFonts w:ascii="Arial" w:eastAsia="Times New Roman" w:hAnsi="Arial" w:cs="Times New Roman"/>
          <w:b/>
          <w:sz w:val="24"/>
          <w:szCs w:val="20"/>
          <w:lang w:eastAsia="zh-CN"/>
        </w:rPr>
        <w:t>9</w:t>
      </w:r>
    </w:p>
    <w:p w14:paraId="6E96A911"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eastAsia="zh-CN"/>
        </w:rPr>
      </w:pPr>
    </w:p>
    <w:p w14:paraId="24E0E89D" w14:textId="77777777" w:rsidR="00BF55A5" w:rsidRPr="00F93282"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US" w:eastAsia="zh-CN"/>
        </w:rPr>
      </w:pPr>
      <w:r w:rsidRPr="00F93282">
        <w:rPr>
          <w:rFonts w:ascii="Arial" w:eastAsia="Times New Roman" w:hAnsi="Arial" w:cs="Times New Roman"/>
          <w:b/>
          <w:lang w:val="en-US" w:eastAsia="zh-CN"/>
        </w:rPr>
        <w:t>Agenda Item:</w:t>
      </w:r>
      <w:r w:rsidRPr="00F93282">
        <w:rPr>
          <w:rFonts w:ascii="Arial" w:eastAsia="Times New Roman" w:hAnsi="Arial" w:cs="Times New Roman"/>
          <w:b/>
          <w:lang w:val="en-US" w:eastAsia="zh-CN"/>
        </w:rPr>
        <w:tab/>
      </w:r>
      <w:r w:rsidRPr="00BF55A5">
        <w:rPr>
          <w:rFonts w:ascii="Arial" w:eastAsia="Times New Roman" w:hAnsi="Arial" w:cs="Times New Roman"/>
          <w:b/>
          <w:szCs w:val="18"/>
          <w:lang w:eastAsia="zh-CN"/>
        </w:rPr>
        <w:t>6.2.1.4</w:t>
      </w:r>
    </w:p>
    <w:p w14:paraId="63489730"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eastAsia="zh-CN"/>
        </w:rPr>
      </w:pPr>
      <w:r w:rsidRPr="00BF55A5">
        <w:rPr>
          <w:rFonts w:ascii="Arial" w:eastAsia="Times New Roman" w:hAnsi="Arial" w:cs="Times New Roman"/>
          <w:b/>
          <w:lang w:eastAsia="zh-CN"/>
        </w:rPr>
        <w:t>Source:</w:t>
      </w:r>
      <w:r w:rsidRPr="00BF55A5">
        <w:rPr>
          <w:rFonts w:ascii="Arial" w:eastAsia="Times New Roman" w:hAnsi="Arial" w:cs="Times New Roman"/>
          <w:b/>
          <w:lang w:eastAsia="zh-CN"/>
        </w:rPr>
        <w:tab/>
        <w:t>Ericsson</w:t>
      </w:r>
    </w:p>
    <w:p w14:paraId="74921BC3" w14:textId="31E2F76D" w:rsidR="00531537" w:rsidRPr="00F93282" w:rsidRDefault="00531537" w:rsidP="00531537">
      <w:pPr>
        <w:pStyle w:val="3GPPHeader"/>
        <w:rPr>
          <w:rFonts w:ascii="Arial" w:hAnsi="Arial" w:cs="Arial"/>
          <w:sz w:val="22"/>
          <w:lang w:val="en-US"/>
        </w:rPr>
      </w:pPr>
      <w:r w:rsidRPr="00F93282">
        <w:rPr>
          <w:rFonts w:ascii="Arial" w:hAnsi="Arial" w:cs="Arial"/>
          <w:sz w:val="22"/>
          <w:lang w:val="en-US"/>
        </w:rPr>
        <w:t>Title:</w:t>
      </w:r>
      <w:r w:rsidRPr="00F93282">
        <w:rPr>
          <w:rFonts w:ascii="Arial" w:hAnsi="Arial" w:cs="Arial"/>
          <w:sz w:val="22"/>
          <w:lang w:val="en-US"/>
        </w:rPr>
        <w:tab/>
        <w:t xml:space="preserve">Feature </w:t>
      </w:r>
      <w:r w:rsidR="008138B3" w:rsidRPr="00F93282">
        <w:rPr>
          <w:rFonts w:ascii="Arial" w:hAnsi="Arial" w:cs="Arial"/>
          <w:sz w:val="22"/>
          <w:lang w:val="en-US"/>
        </w:rPr>
        <w:t xml:space="preserve">lead </w:t>
      </w:r>
      <w:r w:rsidRPr="00F93282">
        <w:rPr>
          <w:rFonts w:ascii="Arial" w:hAnsi="Arial" w:cs="Arial"/>
          <w:sz w:val="22"/>
          <w:lang w:val="en-US"/>
        </w:rPr>
        <w:t xml:space="preserve">summary </w:t>
      </w:r>
      <w:r w:rsidR="008138B3" w:rsidRPr="00F93282">
        <w:rPr>
          <w:rFonts w:ascii="Arial" w:hAnsi="Arial" w:cs="Arial"/>
          <w:sz w:val="22"/>
          <w:lang w:val="en-US"/>
        </w:rPr>
        <w:t>for</w:t>
      </w:r>
      <w:r w:rsidRPr="00F93282">
        <w:rPr>
          <w:rFonts w:ascii="Arial" w:hAnsi="Arial" w:cs="Arial"/>
          <w:sz w:val="22"/>
          <w:lang w:val="en-US"/>
        </w:rPr>
        <w:t xml:space="preserve"> </w:t>
      </w:r>
      <w:r w:rsidR="008138B3" w:rsidRPr="00F93282">
        <w:rPr>
          <w:rFonts w:ascii="Arial" w:hAnsi="Arial" w:cs="Arial"/>
          <w:sz w:val="22"/>
          <w:lang w:val="en-US"/>
        </w:rPr>
        <w:t>C</w:t>
      </w:r>
      <w:r w:rsidR="00A519D5" w:rsidRPr="00F93282">
        <w:rPr>
          <w:rFonts w:ascii="Arial" w:hAnsi="Arial" w:cs="Arial"/>
          <w:sz w:val="22"/>
          <w:lang w:val="en-US"/>
        </w:rPr>
        <w:t xml:space="preserve">oexistence of </w:t>
      </w:r>
      <w:r w:rsidR="00B714D6" w:rsidRPr="00F93282">
        <w:rPr>
          <w:rFonts w:ascii="Arial" w:hAnsi="Arial" w:cs="Arial"/>
          <w:sz w:val="22"/>
          <w:lang w:val="en-US"/>
        </w:rPr>
        <w:t>LTE-MTC</w:t>
      </w:r>
      <w:r w:rsidR="00A519D5" w:rsidRPr="00F93282">
        <w:rPr>
          <w:rFonts w:ascii="Arial" w:hAnsi="Arial" w:cs="Arial"/>
          <w:sz w:val="22"/>
          <w:lang w:val="en-US"/>
        </w:rPr>
        <w:t xml:space="preserve"> with NR</w:t>
      </w:r>
    </w:p>
    <w:p w14:paraId="243FEC2C" w14:textId="77777777" w:rsidR="00531537" w:rsidRPr="00C148F9" w:rsidRDefault="00531537" w:rsidP="00531537">
      <w:pPr>
        <w:pStyle w:val="3GPPHeader"/>
        <w:rPr>
          <w:rFonts w:ascii="Arial" w:hAnsi="Arial" w:cs="Arial"/>
          <w:sz w:val="22"/>
        </w:rPr>
      </w:pPr>
      <w:r w:rsidRPr="00C148F9">
        <w:rPr>
          <w:rFonts w:ascii="Arial" w:hAnsi="Arial" w:cs="Arial"/>
          <w:sz w:val="22"/>
        </w:rPr>
        <w:t>Document for:</w:t>
      </w:r>
      <w:r w:rsidRPr="00C148F9">
        <w:rPr>
          <w:rFonts w:ascii="Arial" w:hAnsi="Arial" w:cs="Arial"/>
          <w:sz w:val="22"/>
        </w:rPr>
        <w:tab/>
        <w:t>Discussion and Decision</w:t>
      </w:r>
    </w:p>
    <w:p w14:paraId="43540FDA" w14:textId="77777777" w:rsidR="00531537" w:rsidRDefault="00531537" w:rsidP="00C17A6B">
      <w:pPr>
        <w:pStyle w:val="Heading1"/>
        <w:numPr>
          <w:ilvl w:val="0"/>
          <w:numId w:val="12"/>
        </w:numPr>
        <w:jc w:val="both"/>
        <w:textAlignment w:val="auto"/>
        <w:rPr>
          <w:lang w:val="en-US"/>
        </w:rPr>
      </w:pPr>
      <w:r>
        <w:rPr>
          <w:lang w:val="en-US"/>
        </w:rPr>
        <w:t>Introduction</w:t>
      </w:r>
    </w:p>
    <w:p w14:paraId="67412C36" w14:textId="34C65FAA" w:rsidR="0088189C" w:rsidRPr="00F93282" w:rsidRDefault="002C6937" w:rsidP="008903C6">
      <w:pPr>
        <w:pStyle w:val="BodyText"/>
        <w:rPr>
          <w:rFonts w:ascii="Arial" w:hAnsi="Arial" w:cs="Arial"/>
          <w:sz w:val="20"/>
          <w:lang w:val="en-US"/>
        </w:rPr>
      </w:pPr>
      <w:r w:rsidRPr="00F93282">
        <w:rPr>
          <w:rFonts w:ascii="Arial" w:hAnsi="Arial" w:cs="Arial"/>
          <w:sz w:val="20"/>
          <w:lang w:val="en-US"/>
        </w:rPr>
        <w:t xml:space="preserve">In the </w:t>
      </w:r>
      <w:r w:rsidR="007F30D2" w:rsidRPr="00F93282">
        <w:rPr>
          <w:rFonts w:ascii="Arial" w:hAnsi="Arial" w:cs="Arial"/>
          <w:sz w:val="20"/>
          <w:lang w:val="en-US"/>
        </w:rPr>
        <w:t xml:space="preserve">Rel-16 </w:t>
      </w:r>
      <w:r w:rsidRPr="00F93282">
        <w:rPr>
          <w:rFonts w:ascii="Arial" w:hAnsi="Arial" w:cs="Arial"/>
          <w:sz w:val="20"/>
          <w:lang w:val="en-US"/>
        </w:rPr>
        <w:t xml:space="preserve">work item on “Additional MTC enhancements for LTE” </w:t>
      </w:r>
      <w:r w:rsidR="00A72A8E">
        <w:rPr>
          <w:rFonts w:ascii="Arial" w:hAnsi="Arial" w:cs="Arial"/>
          <w:sz w:val="20"/>
        </w:rPr>
        <w:fldChar w:fldCharType="begin"/>
      </w:r>
      <w:r w:rsidR="00A72A8E" w:rsidRPr="00F93282">
        <w:rPr>
          <w:rFonts w:ascii="Arial" w:hAnsi="Arial" w:cs="Arial"/>
          <w:sz w:val="20"/>
          <w:lang w:val="en-US"/>
        </w:rPr>
        <w:instrText xml:space="preserve"> REF _Ref189809556 \r \h </w:instrText>
      </w:r>
      <w:r w:rsidR="00A72A8E">
        <w:rPr>
          <w:rFonts w:ascii="Arial" w:hAnsi="Arial" w:cs="Arial"/>
          <w:sz w:val="20"/>
        </w:rPr>
      </w:r>
      <w:r w:rsidR="00A72A8E">
        <w:rPr>
          <w:rFonts w:ascii="Arial" w:hAnsi="Arial" w:cs="Arial"/>
          <w:sz w:val="20"/>
        </w:rPr>
        <w:fldChar w:fldCharType="separate"/>
      </w:r>
      <w:r w:rsidR="007F4FA6">
        <w:rPr>
          <w:rFonts w:ascii="Arial" w:hAnsi="Arial" w:cs="Arial"/>
          <w:sz w:val="20"/>
          <w:lang w:val="en-US"/>
        </w:rPr>
        <w:t>[1]</w:t>
      </w:r>
      <w:r w:rsidR="00A72A8E">
        <w:rPr>
          <w:rFonts w:ascii="Arial" w:hAnsi="Arial" w:cs="Arial"/>
          <w:sz w:val="20"/>
        </w:rPr>
        <w:fldChar w:fldCharType="end"/>
      </w:r>
      <w:r w:rsidR="007F30D2" w:rsidRPr="00F93282">
        <w:rPr>
          <w:rFonts w:ascii="Arial" w:hAnsi="Arial" w:cs="Arial"/>
          <w:sz w:val="20"/>
          <w:lang w:val="en-US"/>
        </w:rPr>
        <w:t>,</w:t>
      </w:r>
      <w:r w:rsidR="00A72A8E" w:rsidRPr="00F93282">
        <w:rPr>
          <w:rFonts w:ascii="Arial" w:hAnsi="Arial" w:cs="Arial"/>
          <w:sz w:val="20"/>
          <w:lang w:val="en-US"/>
        </w:rPr>
        <w:t xml:space="preserve"> </w:t>
      </w:r>
      <w:r w:rsidRPr="00F93282">
        <w:rPr>
          <w:rFonts w:ascii="Arial" w:hAnsi="Arial" w:cs="Arial"/>
          <w:sz w:val="20"/>
          <w:lang w:val="en-US"/>
        </w:rPr>
        <w:t xml:space="preserve">one of the objectives is to </w:t>
      </w:r>
      <w:r w:rsidR="00765C75">
        <w:rPr>
          <w:rFonts w:ascii="Arial" w:hAnsi="Arial" w:cs="Arial"/>
          <w:sz w:val="20"/>
          <w:lang w:val="en-US"/>
        </w:rPr>
        <w:t>specify performance improvements for</w:t>
      </w:r>
      <w:r w:rsidR="00186D0B" w:rsidRPr="00F93282">
        <w:rPr>
          <w:rFonts w:ascii="Arial" w:hAnsi="Arial" w:cs="Arial"/>
          <w:sz w:val="20"/>
          <w:lang w:val="en-US"/>
        </w:rPr>
        <w:t xml:space="preserve"> LTE-MTC coexistence with</w:t>
      </w:r>
      <w:r w:rsidRPr="00F93282">
        <w:rPr>
          <w:rFonts w:ascii="Arial" w:hAnsi="Arial" w:cs="Arial"/>
          <w:sz w:val="20"/>
          <w:lang w:val="en-US"/>
        </w:rPr>
        <w:t xml:space="preserve"> NR.</w:t>
      </w:r>
    </w:p>
    <w:tbl>
      <w:tblPr>
        <w:tblStyle w:val="TableGrid"/>
        <w:tblW w:w="0" w:type="auto"/>
        <w:tblLook w:val="04A0" w:firstRow="1" w:lastRow="0" w:firstColumn="1" w:lastColumn="0" w:noHBand="0" w:noVBand="1"/>
      </w:tblPr>
      <w:tblGrid>
        <w:gridCol w:w="9629"/>
      </w:tblGrid>
      <w:tr w:rsidR="005E3AB9" w:rsidRPr="001A73FF" w14:paraId="156963A3" w14:textId="77777777" w:rsidTr="005E3AB9">
        <w:tc>
          <w:tcPr>
            <w:tcW w:w="9629" w:type="dxa"/>
          </w:tcPr>
          <w:p w14:paraId="1235F81E" w14:textId="345241A0" w:rsidR="00393EA5" w:rsidRDefault="00393EA5" w:rsidP="005E3AB9">
            <w:pPr>
              <w:overflowPunct w:val="0"/>
              <w:autoSpaceDE w:val="0"/>
              <w:autoSpaceDN w:val="0"/>
              <w:adjustRightInd w:val="0"/>
              <w:spacing w:after="0" w:line="240" w:lineRule="auto"/>
              <w:rPr>
                <w:rFonts w:ascii="Times New Roman" w:eastAsia="Times New Roman" w:hAnsi="Times New Roman" w:cs="Times New Roman"/>
                <w:bCs/>
                <w:sz w:val="20"/>
                <w:szCs w:val="20"/>
              </w:rPr>
            </w:pPr>
            <w:r w:rsidRPr="00393EA5">
              <w:rPr>
                <w:rFonts w:ascii="Times New Roman" w:eastAsia="Times New Roman" w:hAnsi="Times New Roman" w:cs="Times New Roman"/>
                <w:bCs/>
                <w:sz w:val="20"/>
                <w:szCs w:val="20"/>
              </w:rPr>
              <w:t>The objective is to specify the following set of improvements for machine-type communications for BL/CE UEs.</w:t>
            </w:r>
          </w:p>
          <w:p w14:paraId="52AC637A" w14:textId="3A711CAE" w:rsidR="00393EA5" w:rsidRDefault="00393EA5" w:rsidP="005E3AB9">
            <w:pPr>
              <w:overflowPunct w:val="0"/>
              <w:autoSpaceDE w:val="0"/>
              <w:autoSpaceDN w:val="0"/>
              <w:adjustRightInd w:val="0"/>
              <w:spacing w:after="0" w:line="240" w:lineRule="auto"/>
              <w:rPr>
                <w:rFonts w:ascii="Times New Roman" w:eastAsia="Times New Roman" w:hAnsi="Times New Roman" w:cs="Times New Roman"/>
                <w:bCs/>
                <w:sz w:val="20"/>
                <w:szCs w:val="20"/>
              </w:rPr>
            </w:pPr>
          </w:p>
          <w:p w14:paraId="2066257E" w14:textId="02DB72F9" w:rsidR="00393EA5" w:rsidRDefault="00393EA5" w:rsidP="005E3AB9">
            <w:pPr>
              <w:overflowPunct w:val="0"/>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p w14:paraId="37D6744D" w14:textId="39389082" w:rsidR="00393EA5" w:rsidRDefault="00393EA5" w:rsidP="005E3AB9">
            <w:pPr>
              <w:overflowPunct w:val="0"/>
              <w:autoSpaceDE w:val="0"/>
              <w:autoSpaceDN w:val="0"/>
              <w:adjustRightInd w:val="0"/>
              <w:spacing w:after="0" w:line="240" w:lineRule="auto"/>
              <w:rPr>
                <w:rFonts w:ascii="Times New Roman" w:eastAsia="Times New Roman" w:hAnsi="Times New Roman" w:cs="Times New Roman"/>
                <w:bCs/>
                <w:sz w:val="20"/>
                <w:szCs w:val="20"/>
              </w:rPr>
            </w:pPr>
          </w:p>
          <w:p w14:paraId="072018E5" w14:textId="607F6441" w:rsidR="005E3AB9" w:rsidRPr="00B954A0" w:rsidRDefault="005E3AB9" w:rsidP="005E3AB9">
            <w:pPr>
              <w:overflowPunct w:val="0"/>
              <w:autoSpaceDE w:val="0"/>
              <w:autoSpaceDN w:val="0"/>
              <w:adjustRightInd w:val="0"/>
              <w:spacing w:after="0" w:line="240" w:lineRule="auto"/>
              <w:rPr>
                <w:rFonts w:ascii="Times New Roman" w:eastAsia="Times New Roman" w:hAnsi="Times New Roman" w:cs="Times New Roman"/>
                <w:b/>
                <w:bCs/>
                <w:sz w:val="20"/>
                <w:szCs w:val="20"/>
              </w:rPr>
            </w:pPr>
            <w:r w:rsidRPr="00B954A0">
              <w:rPr>
                <w:rFonts w:ascii="Times New Roman" w:eastAsia="Times New Roman" w:hAnsi="Times New Roman" w:cs="Times New Roman"/>
                <w:b/>
                <w:bCs/>
                <w:sz w:val="20"/>
                <w:szCs w:val="20"/>
              </w:rPr>
              <w:t>Coexistence with NR:</w:t>
            </w:r>
          </w:p>
          <w:p w14:paraId="67CFA0E6" w14:textId="77777777" w:rsidR="00C0614D" w:rsidRPr="00C0614D" w:rsidRDefault="00C0614D" w:rsidP="00FD41EF">
            <w:pPr>
              <w:numPr>
                <w:ilvl w:val="0"/>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Specify the following performance improvements for LTE-MTC coexistence with NR [RAN1, RAN2, RAN4]</w:t>
            </w:r>
          </w:p>
          <w:p w14:paraId="235C9549"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LTE-MTC resource reservation at least in the time domain with at least one of slot-level and symbol-level granularity at least in DL to avoid resource overlap between NR and LTE-MTC when LTE-MTC is deployed within an NR carrier</w:t>
            </w:r>
          </w:p>
          <w:p w14:paraId="31D7E36B"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LTE-MTC subcarrier puncturing for a small number of LTE-MTC DL subcarriers (excluding CRS) to reduce the number of NR resource blocks that need to be reserved for LTE-MTC when LTE-MTC is deployed within an NR carrier</w:t>
            </w:r>
          </w:p>
          <w:p w14:paraId="423C47CD" w14:textId="77777777" w:rsidR="00C0614D" w:rsidRPr="00C0614D" w:rsidRDefault="00C0614D" w:rsidP="00FD41EF">
            <w:pPr>
              <w:numPr>
                <w:ilvl w:val="0"/>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For LTE-MTC in-band operation co-existence with NR, RAN4 will investigate the following:</w:t>
            </w:r>
          </w:p>
          <w:p w14:paraId="1D9B6BB3"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15 kHz, 30 kHz, and 60 kHz numerologies for NR FR1 bands, with higher priority given first to 15 kHz and then to 30 kHz</w:t>
            </w:r>
          </w:p>
          <w:p w14:paraId="6E7F7EE7"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Study feasible LTE-MTC placement allocation without RF backward compatibility impact and compatible with Rel-13 LTE-MTC and Rel-15 NR, to operate simultaneously within various NR channel bandwidths</w:t>
            </w:r>
          </w:p>
          <w:p w14:paraId="2C344BB2"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Channel raster, PRB and subcarrier grid alignment between LTE-MTC and NR</w:t>
            </w:r>
          </w:p>
          <w:p w14:paraId="6D48B52B"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Synchronization issue between LTE-MTC and NR, including timing advance</w:t>
            </w:r>
          </w:p>
          <w:p w14:paraId="195B13BB"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Frequency band support in LTE-MTC and NR</w:t>
            </w:r>
          </w:p>
          <w:p w14:paraId="5610AFFE"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Testability applicability</w:t>
            </w:r>
          </w:p>
          <w:p w14:paraId="593C92EA"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Compatibility for Rel-15 NR and Rel-13/14/15 LTE-MTC</w:t>
            </w:r>
          </w:p>
          <w:p w14:paraId="03DD0D94"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The case of NR configured with 15 kHz SS block SCS and the case of 30 kHz SS block SCS as specified in 38.101-1 are included in the study.</w:t>
            </w:r>
          </w:p>
          <w:p w14:paraId="525E8FD3" w14:textId="77777777" w:rsidR="00C0614D" w:rsidRPr="00C0614D" w:rsidRDefault="00C0614D" w:rsidP="00C0614D">
            <w:pPr>
              <w:overflowPunct w:val="0"/>
              <w:autoSpaceDE w:val="0"/>
              <w:autoSpaceDN w:val="0"/>
              <w:adjustRightInd w:val="0"/>
              <w:spacing w:after="0" w:line="240" w:lineRule="auto"/>
              <w:ind w:left="720"/>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Note: After RAN1 concludes the objective on R16 LTE-MTC coexistence aspects, evaluate coexistence between R15 NR and R16 LTE-MTC.</w:t>
            </w:r>
          </w:p>
          <w:p w14:paraId="723FD208" w14:textId="098B7EA4" w:rsidR="005E3AB9" w:rsidRPr="00C0614D" w:rsidRDefault="005E3AB9" w:rsidP="005E3AB9">
            <w:pPr>
              <w:overflowPunct w:val="0"/>
              <w:autoSpaceDE w:val="0"/>
              <w:autoSpaceDN w:val="0"/>
              <w:adjustRightInd w:val="0"/>
              <w:spacing w:after="0" w:line="240" w:lineRule="auto"/>
              <w:rPr>
                <w:rFonts w:ascii="Times New Roman" w:eastAsia="Times New Roman" w:hAnsi="Times New Roman" w:cs="Times New Roman"/>
                <w:bCs/>
                <w:sz w:val="20"/>
                <w:szCs w:val="20"/>
              </w:rPr>
            </w:pPr>
          </w:p>
        </w:tc>
      </w:tr>
    </w:tbl>
    <w:p w14:paraId="0823598B" w14:textId="77777777" w:rsidR="00903679" w:rsidRPr="00F93282" w:rsidRDefault="00903679" w:rsidP="008903C6">
      <w:pPr>
        <w:pStyle w:val="BodyText"/>
        <w:rPr>
          <w:rFonts w:ascii="Arial" w:hAnsi="Arial" w:cs="Arial"/>
          <w:sz w:val="20"/>
          <w:lang w:val="en-US"/>
        </w:rPr>
      </w:pPr>
    </w:p>
    <w:p w14:paraId="1FBC3760" w14:textId="2E602003" w:rsidR="00AD0CF0" w:rsidRPr="00F93282" w:rsidRDefault="00531537" w:rsidP="008903C6">
      <w:pPr>
        <w:pStyle w:val="BodyText"/>
        <w:rPr>
          <w:rFonts w:ascii="Arial" w:hAnsi="Arial" w:cs="Arial"/>
          <w:sz w:val="20"/>
          <w:szCs w:val="20"/>
          <w:lang w:val="en-US"/>
        </w:rPr>
      </w:pPr>
      <w:r w:rsidRPr="00F93282">
        <w:rPr>
          <w:rFonts w:ascii="Arial" w:hAnsi="Arial" w:cs="Arial"/>
          <w:sz w:val="20"/>
          <w:szCs w:val="20"/>
          <w:lang w:val="en-US"/>
        </w:rPr>
        <w:t xml:space="preserve">This </w:t>
      </w:r>
      <w:r w:rsidR="003852F0" w:rsidRPr="00F93282">
        <w:rPr>
          <w:rFonts w:ascii="Arial" w:hAnsi="Arial" w:cs="Arial"/>
          <w:sz w:val="20"/>
          <w:szCs w:val="20"/>
          <w:lang w:val="en-US"/>
        </w:rPr>
        <w:t xml:space="preserve">document </w:t>
      </w:r>
      <w:r w:rsidR="00F7216C" w:rsidRPr="00F93282">
        <w:rPr>
          <w:rFonts w:ascii="Arial" w:hAnsi="Arial" w:cs="Arial"/>
          <w:sz w:val="20"/>
          <w:szCs w:val="20"/>
          <w:lang w:val="en-US"/>
        </w:rPr>
        <w:t xml:space="preserve">provides </w:t>
      </w:r>
      <w:r w:rsidR="00041DF6" w:rsidRPr="00F93282">
        <w:rPr>
          <w:rFonts w:ascii="Arial" w:hAnsi="Arial" w:cs="Arial"/>
          <w:sz w:val="20"/>
          <w:szCs w:val="20"/>
          <w:lang w:val="en-US"/>
        </w:rPr>
        <w:t xml:space="preserve">a summary </w:t>
      </w:r>
      <w:r w:rsidR="00F7216C" w:rsidRPr="00F93282">
        <w:rPr>
          <w:rFonts w:ascii="Arial" w:hAnsi="Arial" w:cs="Arial"/>
          <w:sz w:val="20"/>
          <w:szCs w:val="20"/>
          <w:lang w:val="en-US"/>
        </w:rPr>
        <w:t xml:space="preserve">and recommendations based on </w:t>
      </w:r>
      <w:r w:rsidR="00041DF6" w:rsidRPr="00F93282">
        <w:rPr>
          <w:rFonts w:ascii="Arial" w:hAnsi="Arial" w:cs="Arial"/>
          <w:sz w:val="20"/>
          <w:szCs w:val="20"/>
          <w:lang w:val="en-US"/>
        </w:rPr>
        <w:t xml:space="preserve">contributions in </w:t>
      </w:r>
      <w:bookmarkStart w:id="1" w:name="_Ref178064866"/>
      <w:bookmarkStart w:id="2" w:name="_In-sequence_SDU_delivery"/>
      <w:bookmarkEnd w:id="1"/>
      <w:bookmarkEnd w:id="2"/>
      <w:r w:rsidR="008535B1">
        <w:rPr>
          <w:rFonts w:ascii="Arial" w:hAnsi="Arial" w:cs="Arial"/>
          <w:sz w:val="20"/>
          <w:szCs w:val="20"/>
          <w:lang w:val="en-US"/>
        </w:rPr>
        <w:fldChar w:fldCharType="begin"/>
      </w:r>
      <w:r w:rsidR="008535B1">
        <w:rPr>
          <w:rFonts w:ascii="Arial" w:hAnsi="Arial" w:cs="Arial"/>
          <w:sz w:val="20"/>
          <w:szCs w:val="20"/>
          <w:lang w:val="en-US"/>
        </w:rPr>
        <w:instrText xml:space="preserve"> REF _Ref21690879 \r \h </w:instrText>
      </w:r>
      <w:r w:rsidR="008535B1">
        <w:rPr>
          <w:rFonts w:ascii="Arial" w:hAnsi="Arial" w:cs="Arial"/>
          <w:sz w:val="20"/>
          <w:szCs w:val="20"/>
          <w:lang w:val="en-US"/>
        </w:rPr>
      </w:r>
      <w:r w:rsidR="008535B1">
        <w:rPr>
          <w:rFonts w:ascii="Arial" w:hAnsi="Arial" w:cs="Arial"/>
          <w:sz w:val="20"/>
          <w:szCs w:val="20"/>
          <w:lang w:val="en-US"/>
        </w:rPr>
        <w:fldChar w:fldCharType="separate"/>
      </w:r>
      <w:r w:rsidR="007F4FA6">
        <w:rPr>
          <w:rFonts w:ascii="Arial" w:hAnsi="Arial" w:cs="Arial"/>
          <w:sz w:val="20"/>
          <w:szCs w:val="20"/>
          <w:lang w:val="en-US"/>
        </w:rPr>
        <w:t>[2]</w:t>
      </w:r>
      <w:r w:rsidR="008535B1">
        <w:rPr>
          <w:rFonts w:ascii="Arial" w:hAnsi="Arial" w:cs="Arial"/>
          <w:sz w:val="20"/>
          <w:szCs w:val="20"/>
          <w:lang w:val="en-US"/>
        </w:rPr>
        <w:fldChar w:fldCharType="end"/>
      </w:r>
      <w:r w:rsidR="008535B1">
        <w:rPr>
          <w:rFonts w:ascii="Arial" w:hAnsi="Arial" w:cs="Arial"/>
          <w:sz w:val="20"/>
          <w:szCs w:val="20"/>
        </w:rPr>
        <w:t xml:space="preserve"> </w:t>
      </w:r>
      <w:r w:rsidR="00E97C70">
        <w:rPr>
          <w:rFonts w:ascii="Arial" w:hAnsi="Arial" w:cs="Arial"/>
          <w:sz w:val="20"/>
          <w:szCs w:val="20"/>
          <w:lang w:val="en-US"/>
        </w:rPr>
        <w:t>–</w:t>
      </w:r>
      <w:r w:rsidR="008535B1">
        <w:rPr>
          <w:rFonts w:ascii="Arial" w:hAnsi="Arial" w:cs="Arial"/>
          <w:sz w:val="20"/>
          <w:szCs w:val="20"/>
        </w:rPr>
        <w:t xml:space="preserve"> </w:t>
      </w:r>
      <w:r w:rsidR="008535B1">
        <w:rPr>
          <w:rFonts w:ascii="Arial" w:hAnsi="Arial" w:cs="Arial"/>
          <w:sz w:val="20"/>
          <w:szCs w:val="20"/>
        </w:rPr>
        <w:fldChar w:fldCharType="begin"/>
      </w:r>
      <w:r w:rsidR="008535B1">
        <w:rPr>
          <w:rFonts w:ascii="Arial" w:hAnsi="Arial" w:cs="Arial"/>
          <w:sz w:val="20"/>
          <w:szCs w:val="20"/>
        </w:rPr>
        <w:instrText xml:space="preserve"> REF _Ref21690959 \r \h </w:instrText>
      </w:r>
      <w:r w:rsidR="008535B1">
        <w:rPr>
          <w:rFonts w:ascii="Arial" w:hAnsi="Arial" w:cs="Arial"/>
          <w:sz w:val="20"/>
          <w:szCs w:val="20"/>
        </w:rPr>
      </w:r>
      <w:r w:rsidR="008535B1">
        <w:rPr>
          <w:rFonts w:ascii="Arial" w:hAnsi="Arial" w:cs="Arial"/>
          <w:sz w:val="20"/>
          <w:szCs w:val="20"/>
        </w:rPr>
        <w:fldChar w:fldCharType="separate"/>
      </w:r>
      <w:r w:rsidR="007F4FA6">
        <w:rPr>
          <w:rFonts w:ascii="Arial" w:hAnsi="Arial" w:cs="Arial"/>
          <w:sz w:val="20"/>
          <w:szCs w:val="20"/>
        </w:rPr>
        <w:t>[8]</w:t>
      </w:r>
      <w:r w:rsidR="008535B1">
        <w:rPr>
          <w:rFonts w:ascii="Arial" w:hAnsi="Arial" w:cs="Arial"/>
          <w:sz w:val="20"/>
          <w:szCs w:val="20"/>
        </w:rPr>
        <w:fldChar w:fldCharType="end"/>
      </w:r>
      <w:r w:rsidR="00F9591A" w:rsidRPr="00F93282">
        <w:rPr>
          <w:rFonts w:ascii="Arial" w:hAnsi="Arial" w:cs="Arial"/>
          <w:sz w:val="20"/>
          <w:szCs w:val="20"/>
          <w:lang w:val="en-US"/>
        </w:rPr>
        <w:t>.</w:t>
      </w:r>
    </w:p>
    <w:p w14:paraId="5EA82E01" w14:textId="40735E2D" w:rsidR="00C90779" w:rsidRPr="00F93282" w:rsidRDefault="00C90779">
      <w:pPr>
        <w:spacing w:after="0" w:line="240" w:lineRule="auto"/>
        <w:rPr>
          <w:rFonts w:ascii="Arial" w:hAnsi="Arial" w:cs="Arial"/>
          <w:sz w:val="20"/>
          <w:szCs w:val="20"/>
          <w:lang w:val="en-US"/>
        </w:rPr>
      </w:pPr>
    </w:p>
    <w:p w14:paraId="68431D7C" w14:textId="5A303EBD" w:rsidR="007A41DE" w:rsidRDefault="003B2874" w:rsidP="007A41DE">
      <w:pPr>
        <w:pStyle w:val="Heading1"/>
      </w:pPr>
      <w:r>
        <w:lastRenderedPageBreak/>
        <w:t>LTE-MTC subcarrier puncturing</w:t>
      </w:r>
    </w:p>
    <w:p w14:paraId="33C02C24" w14:textId="5668D60D" w:rsidR="00903679" w:rsidRPr="00903679" w:rsidRDefault="00903679" w:rsidP="00903679">
      <w:pPr>
        <w:pStyle w:val="BodyText"/>
        <w:rPr>
          <w:rFonts w:ascii="Arial" w:hAnsi="Arial" w:cs="Arial"/>
          <w:sz w:val="20"/>
          <w:lang w:val="en-US"/>
        </w:rPr>
      </w:pPr>
      <w:r w:rsidRPr="00903679">
        <w:rPr>
          <w:rFonts w:ascii="Arial" w:hAnsi="Arial" w:cs="Arial"/>
          <w:sz w:val="20"/>
          <w:lang w:val="en-US"/>
        </w:rPr>
        <w:t>In RAN1#98, the following agreements were made</w:t>
      </w:r>
      <w:r>
        <w:rPr>
          <w:rFonts w:ascii="Arial" w:hAnsi="Arial" w:cs="Arial"/>
          <w:sz w:val="20"/>
          <w:lang w:val="en-US"/>
        </w:rPr>
        <w:t xml:space="preserve"> regarding “</w:t>
      </w:r>
      <w:r w:rsidRPr="00F61D98">
        <w:rPr>
          <w:rFonts w:ascii="Arial" w:hAnsi="Arial" w:cs="Arial"/>
          <w:sz w:val="20"/>
          <w:lang w:val="en-US"/>
        </w:rPr>
        <w:t>LTE-MTC subcarrier puncturing for a small number of LTE-MTC DL subcarriers (excluding CRS) to reduce the number of NR resource blocks that need to be reserved for LTE-MTC when LTE-MTC is deployed within an NR carrier</w:t>
      </w:r>
      <w:r>
        <w:rPr>
          <w:rFonts w:ascii="Arial" w:hAnsi="Arial" w:cs="Arial"/>
          <w:sz w:val="20"/>
          <w:lang w:val="en-US"/>
        </w:rPr>
        <w:t>”.</w:t>
      </w:r>
    </w:p>
    <w:tbl>
      <w:tblPr>
        <w:tblStyle w:val="TableGrid"/>
        <w:tblW w:w="0" w:type="auto"/>
        <w:tblLook w:val="04A0" w:firstRow="1" w:lastRow="0" w:firstColumn="1" w:lastColumn="0" w:noHBand="0" w:noVBand="1"/>
      </w:tblPr>
      <w:tblGrid>
        <w:gridCol w:w="9629"/>
      </w:tblGrid>
      <w:tr w:rsidR="00903679" w:rsidRPr="001174E5" w14:paraId="3E4CA5AF" w14:textId="77777777" w:rsidTr="005B35B5">
        <w:tc>
          <w:tcPr>
            <w:tcW w:w="9629" w:type="dxa"/>
          </w:tcPr>
          <w:p w14:paraId="43A5F3ED" w14:textId="77777777" w:rsidR="00C46529" w:rsidRPr="00C46529" w:rsidRDefault="00C46529" w:rsidP="00C46529">
            <w:pPr>
              <w:spacing w:after="0" w:line="240" w:lineRule="auto"/>
              <w:rPr>
                <w:rFonts w:ascii="Times" w:eastAsia="Batang" w:hAnsi="Times" w:cs="Times"/>
                <w:b/>
                <w:bCs/>
                <w:sz w:val="20"/>
                <w:szCs w:val="20"/>
                <w:highlight w:val="green"/>
                <w:lang w:eastAsia="x-none"/>
              </w:rPr>
            </w:pPr>
            <w:r w:rsidRPr="00C46529">
              <w:rPr>
                <w:rFonts w:ascii="Times" w:eastAsia="Batang" w:hAnsi="Times" w:cs="Times"/>
                <w:b/>
                <w:bCs/>
                <w:sz w:val="20"/>
                <w:szCs w:val="20"/>
                <w:highlight w:val="green"/>
                <w:lang w:eastAsia="x-none"/>
              </w:rPr>
              <w:t>Agreement</w:t>
            </w:r>
          </w:p>
          <w:p w14:paraId="508B97AC"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FFS: till the next meeting whether the LTE-MTC DL subcarrier puncturing applies per scheduled transmission and/or per narrowband and/or per system bandwidth</w:t>
            </w:r>
          </w:p>
          <w:p w14:paraId="164693C1"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DL subcarrier puncturing is supported on both sides of [transmission bandwidth]</w:t>
            </w:r>
          </w:p>
          <w:p w14:paraId="2C9F06AA"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The maximum number of LTE-MTC DL subcarriers that can be punctured is 2</w:t>
            </w:r>
          </w:p>
          <w:p w14:paraId="6BCF8065"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The [maximum] number of punctured subcarriers and their locations are configured by higher layers via [SIB or UE-specific RRC signaling]. It is FFS whether DCI can override or modify the higher-layer configuration.</w:t>
            </w:r>
          </w:p>
          <w:p w14:paraId="127D9E54"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The same higher-layer configuration of [maximum] number of punctured subcarriers and their locations apply to both MPDCCH and PDSCH.</w:t>
            </w:r>
          </w:p>
          <w:p w14:paraId="22DD2815" w14:textId="77777777" w:rsidR="0090367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FFS: till the next meeting whether DMRS, CSI-RS and SFBC RE pairs are punctured or not.</w:t>
            </w:r>
          </w:p>
          <w:p w14:paraId="25D6D8EC" w14:textId="3AC496E2" w:rsidR="00C46529" w:rsidRPr="00C46529" w:rsidRDefault="00C46529" w:rsidP="00C46529">
            <w:pPr>
              <w:tabs>
                <w:tab w:val="left" w:pos="0"/>
              </w:tabs>
              <w:spacing w:after="0" w:line="240" w:lineRule="auto"/>
              <w:jc w:val="both"/>
              <w:rPr>
                <w:rFonts w:ascii="Times" w:eastAsia="Times New Roman" w:hAnsi="Times" w:cs="Times"/>
                <w:sz w:val="20"/>
                <w:szCs w:val="20"/>
                <w:lang w:val="en-US" w:eastAsia="zh-CN"/>
              </w:rPr>
            </w:pPr>
          </w:p>
        </w:tc>
      </w:tr>
    </w:tbl>
    <w:p w14:paraId="5F0854B9" w14:textId="77777777" w:rsidR="00903679" w:rsidRDefault="00903679" w:rsidP="00F078D4">
      <w:pPr>
        <w:pStyle w:val="BodyText"/>
        <w:rPr>
          <w:rFonts w:ascii="Arial" w:hAnsi="Arial" w:cs="Arial"/>
          <w:sz w:val="20"/>
          <w:lang w:val="en-US"/>
        </w:rPr>
      </w:pPr>
    </w:p>
    <w:p w14:paraId="0D5BE132" w14:textId="49C08F49" w:rsidR="00161339" w:rsidRPr="00F93282" w:rsidRDefault="00161339" w:rsidP="00161339">
      <w:pPr>
        <w:pStyle w:val="BodyText"/>
        <w:rPr>
          <w:rFonts w:ascii="Arial" w:hAnsi="Arial" w:cs="Arial"/>
          <w:sz w:val="20"/>
          <w:lang w:val="en-US"/>
        </w:rPr>
      </w:pPr>
      <w:r>
        <w:rPr>
          <w:rFonts w:ascii="Arial" w:hAnsi="Arial" w:cs="Arial"/>
          <w:sz w:val="20"/>
          <w:lang w:val="en-US"/>
        </w:rPr>
        <w:t xml:space="preserve">The table below summarizes proposals related to </w:t>
      </w:r>
      <w:r w:rsidR="00495962">
        <w:rPr>
          <w:rFonts w:ascii="Arial" w:hAnsi="Arial" w:cs="Arial"/>
          <w:sz w:val="20"/>
          <w:lang w:val="en-US"/>
        </w:rPr>
        <w:t>general</w:t>
      </w:r>
      <w:r>
        <w:rPr>
          <w:rFonts w:ascii="Arial" w:hAnsi="Arial" w:cs="Arial"/>
          <w:sz w:val="20"/>
          <w:lang w:val="en-US"/>
        </w:rPr>
        <w:t xml:space="preserve"> configuration aspects</w:t>
      </w:r>
      <w:r w:rsidR="00607C12">
        <w:rPr>
          <w:rFonts w:ascii="Arial" w:hAnsi="Arial" w:cs="Arial"/>
          <w:sz w:val="20"/>
          <w:lang w:val="en-US"/>
        </w:rPr>
        <w:t xml:space="preserve"> for the puncturing</w:t>
      </w:r>
      <w:r w:rsidR="00E419D4">
        <w:rPr>
          <w:rFonts w:ascii="Arial" w:hAnsi="Arial" w:cs="Arial"/>
          <w:sz w:val="20"/>
          <w:lang w:val="en-US"/>
        </w:rPr>
        <w:t xml:space="preserve"> and potential overriding or modification of the configuration</w:t>
      </w:r>
      <w:r w:rsidR="00607C12">
        <w:rPr>
          <w:rFonts w:ascii="Arial" w:hAnsi="Arial" w:cs="Arial"/>
          <w:sz w:val="20"/>
          <w:lang w:val="en-US"/>
        </w:rPr>
        <w:t>.</w:t>
      </w:r>
    </w:p>
    <w:tbl>
      <w:tblPr>
        <w:tblStyle w:val="TableGrid"/>
        <w:tblW w:w="0" w:type="auto"/>
        <w:tblLook w:val="04A0" w:firstRow="1" w:lastRow="0" w:firstColumn="1" w:lastColumn="0" w:noHBand="0" w:noVBand="1"/>
      </w:tblPr>
      <w:tblGrid>
        <w:gridCol w:w="2830"/>
        <w:gridCol w:w="6799"/>
      </w:tblGrid>
      <w:tr w:rsidR="00161339" w:rsidRPr="001A73FF" w14:paraId="7234D023" w14:textId="77777777" w:rsidTr="005B35B5">
        <w:tc>
          <w:tcPr>
            <w:tcW w:w="2830" w:type="dxa"/>
          </w:tcPr>
          <w:p w14:paraId="18DAECEB" w14:textId="2763AF49" w:rsidR="00161339" w:rsidRPr="003E082E" w:rsidRDefault="00161339"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_Ref21690879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3E082E">
              <w:rPr>
                <w:rFonts w:ascii="Times New Roman" w:hAnsi="Times New Roman" w:cs="Times New Roman"/>
                <w:sz w:val="20"/>
                <w:lang w:eastAsia="zh-CN"/>
              </w:rPr>
              <w:t>Ericsson</w:t>
            </w:r>
          </w:p>
        </w:tc>
        <w:tc>
          <w:tcPr>
            <w:tcW w:w="6799" w:type="dxa"/>
          </w:tcPr>
          <w:p w14:paraId="21BFBE3A" w14:textId="77777777" w:rsidR="00161339" w:rsidRPr="00166D97" w:rsidRDefault="00161339" w:rsidP="005B35B5">
            <w:pPr>
              <w:rPr>
                <w:rFonts w:ascii="Times New Roman" w:hAnsi="Times New Roman" w:cs="Times New Roman"/>
                <w:sz w:val="20"/>
                <w:lang w:val="en-US" w:eastAsia="zh-CN"/>
              </w:rPr>
            </w:pPr>
            <w:r w:rsidRPr="00166D97">
              <w:rPr>
                <w:rFonts w:ascii="Times New Roman" w:hAnsi="Times New Roman" w:cs="Times New Roman"/>
                <w:sz w:val="20"/>
                <w:lang w:val="en-US" w:eastAsia="zh-CN"/>
              </w:rPr>
              <w:t>Proposal 1</w:t>
            </w:r>
            <w:r>
              <w:rPr>
                <w:rFonts w:ascii="Times New Roman" w:hAnsi="Times New Roman" w:cs="Times New Roman"/>
                <w:sz w:val="20"/>
                <w:lang w:val="en-US" w:eastAsia="zh-CN"/>
              </w:rPr>
              <w:t xml:space="preserve">: </w:t>
            </w:r>
            <w:r w:rsidRPr="00166D97">
              <w:rPr>
                <w:rFonts w:ascii="Times New Roman" w:hAnsi="Times New Roman" w:cs="Times New Roman"/>
                <w:sz w:val="20"/>
                <w:lang w:val="en-US" w:eastAsia="zh-CN"/>
              </w:rPr>
              <w:t>The subcarrier puncturing feature is configured via SIB.</w:t>
            </w:r>
          </w:p>
          <w:p w14:paraId="24C7B562" w14:textId="77777777" w:rsidR="00161339" w:rsidRDefault="00161339" w:rsidP="005B35B5">
            <w:pPr>
              <w:rPr>
                <w:rFonts w:ascii="Times New Roman" w:hAnsi="Times New Roman" w:cs="Times New Roman"/>
                <w:sz w:val="20"/>
                <w:lang w:val="en-US" w:eastAsia="zh-CN"/>
              </w:rPr>
            </w:pPr>
            <w:r w:rsidRPr="00AE4C63">
              <w:rPr>
                <w:rFonts w:ascii="Times New Roman" w:hAnsi="Times New Roman" w:cs="Times New Roman"/>
                <w:sz w:val="20"/>
                <w:lang w:val="en-US" w:eastAsia="zh-CN"/>
              </w:rPr>
              <w:t>Proposal 2: The behavior configured via SIB can be overridden for unicast PDSCH and MPDCCH transmissions via dedicated RRC signaling.</w:t>
            </w:r>
          </w:p>
          <w:p w14:paraId="1C863EAE" w14:textId="77777777" w:rsidR="00B0481F" w:rsidRPr="00166D97" w:rsidRDefault="00B0481F" w:rsidP="00B0481F">
            <w:pPr>
              <w:rPr>
                <w:rFonts w:ascii="Times New Roman" w:hAnsi="Times New Roman" w:cs="Times New Roman"/>
                <w:sz w:val="20"/>
                <w:lang w:val="en-US" w:eastAsia="zh-CN"/>
              </w:rPr>
            </w:pPr>
            <w:r w:rsidRPr="00166D97">
              <w:rPr>
                <w:rFonts w:ascii="Times New Roman" w:hAnsi="Times New Roman" w:cs="Times New Roman"/>
                <w:sz w:val="20"/>
                <w:lang w:val="en-US" w:eastAsia="zh-CN"/>
              </w:rPr>
              <w:t>Proposal 3</w:t>
            </w:r>
            <w:r>
              <w:rPr>
                <w:rFonts w:ascii="Times New Roman" w:hAnsi="Times New Roman" w:cs="Times New Roman"/>
                <w:sz w:val="20"/>
                <w:lang w:val="en-US" w:eastAsia="zh-CN"/>
              </w:rPr>
              <w:t xml:space="preserve">: </w:t>
            </w:r>
            <w:r w:rsidRPr="00166D97">
              <w:rPr>
                <w:rFonts w:ascii="Times New Roman" w:hAnsi="Times New Roman" w:cs="Times New Roman"/>
                <w:sz w:val="20"/>
                <w:lang w:val="en-US" w:eastAsia="zh-CN"/>
              </w:rPr>
              <w:t>Configuration parameters can indicate the number of LTE-M subcarrier(s) which need to be punctured, using {+1, +2} values for puncturing one or two subcarriers on the right-edge of PRBs or narrowband, and {-1, -2} values for puncturing one or two subcarriers on the left-edge of PRBs or narrowband.</w:t>
            </w:r>
          </w:p>
          <w:p w14:paraId="53F17C27" w14:textId="7E5A7BC2" w:rsidR="00B0481F" w:rsidRPr="00AE4C63" w:rsidRDefault="00B0481F" w:rsidP="005B35B5">
            <w:pPr>
              <w:rPr>
                <w:rFonts w:ascii="Times New Roman" w:hAnsi="Times New Roman" w:cs="Times New Roman"/>
                <w:sz w:val="20"/>
                <w:lang w:val="en-US" w:eastAsia="zh-CN"/>
              </w:rPr>
            </w:pPr>
            <w:r w:rsidRPr="00166D97">
              <w:rPr>
                <w:rFonts w:ascii="Times New Roman" w:hAnsi="Times New Roman" w:cs="Times New Roman"/>
                <w:sz w:val="20"/>
                <w:lang w:val="en-US" w:eastAsia="zh-CN"/>
              </w:rPr>
              <w:t>Proposal 4</w:t>
            </w:r>
            <w:r>
              <w:rPr>
                <w:rFonts w:ascii="Times New Roman" w:hAnsi="Times New Roman" w:cs="Times New Roman"/>
                <w:sz w:val="20"/>
                <w:lang w:val="en-US" w:eastAsia="zh-CN"/>
              </w:rPr>
              <w:t xml:space="preserve">: </w:t>
            </w:r>
            <w:r w:rsidRPr="00166D97">
              <w:rPr>
                <w:rFonts w:ascii="Times New Roman" w:hAnsi="Times New Roman" w:cs="Times New Roman"/>
                <w:sz w:val="20"/>
                <w:lang w:val="en-US" w:eastAsia="zh-CN"/>
              </w:rPr>
              <w:t>An indicated positive number of subcarriers applies to PRBs above the DC subcarrier, and an indicated negative number of subcarriers applies to PRBs below the DC subcarrier. On the other side of the DC subcarrier, one less subcarrier is punctured.</w:t>
            </w:r>
          </w:p>
        </w:tc>
      </w:tr>
      <w:tr w:rsidR="00161339" w:rsidRPr="001A73FF" w14:paraId="177052C9" w14:textId="77777777" w:rsidTr="005B35B5">
        <w:tc>
          <w:tcPr>
            <w:tcW w:w="2830" w:type="dxa"/>
          </w:tcPr>
          <w:p w14:paraId="6F21C519" w14:textId="0CB1B7F5" w:rsidR="00161339" w:rsidRPr="003E082E" w:rsidRDefault="00161339"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_Ref21690892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3E082E">
              <w:rPr>
                <w:rFonts w:ascii="Times New Roman" w:hAnsi="Times New Roman" w:cs="Times New Roman"/>
                <w:sz w:val="20"/>
                <w:lang w:eastAsia="zh-CN"/>
              </w:rPr>
              <w:t>Huawei, HiSilicon</w:t>
            </w:r>
          </w:p>
        </w:tc>
        <w:tc>
          <w:tcPr>
            <w:tcW w:w="6799" w:type="dxa"/>
          </w:tcPr>
          <w:p w14:paraId="7D934FFB" w14:textId="77777777" w:rsidR="00161339" w:rsidRPr="00AE4C63" w:rsidRDefault="00161339" w:rsidP="005B35B5">
            <w:pPr>
              <w:rPr>
                <w:rFonts w:ascii="Times New Roman" w:hAnsi="Times New Roman" w:cs="Times New Roman"/>
                <w:sz w:val="20"/>
                <w:lang w:val="en-US" w:eastAsia="zh-CN"/>
              </w:rPr>
            </w:pPr>
            <w:r w:rsidRPr="00AE4C63">
              <w:rPr>
                <w:rFonts w:ascii="Times New Roman" w:hAnsi="Times New Roman" w:cs="Times New Roman"/>
                <w:sz w:val="20"/>
                <w:lang w:val="en-US" w:eastAsia="zh-CN"/>
              </w:rPr>
              <w:t>Proposal 2: The number of punctured subcarriers and their locations are configured by higher layers via SIB and no DCI is introduced to indicate the punctured subcarriers.</w:t>
            </w:r>
          </w:p>
        </w:tc>
      </w:tr>
      <w:tr w:rsidR="00161339" w:rsidRPr="001A73FF" w14:paraId="479595EA" w14:textId="77777777" w:rsidTr="005B35B5">
        <w:tc>
          <w:tcPr>
            <w:tcW w:w="2830" w:type="dxa"/>
          </w:tcPr>
          <w:p w14:paraId="4B24B393" w14:textId="06D14D17" w:rsidR="00161339" w:rsidRPr="003E082E" w:rsidRDefault="00161339"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_Ref21690941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6799" w:type="dxa"/>
          </w:tcPr>
          <w:p w14:paraId="5A09DDFA" w14:textId="77777777" w:rsidR="00161339" w:rsidRPr="00AE4C63" w:rsidRDefault="00161339" w:rsidP="005B35B5">
            <w:pPr>
              <w:rPr>
                <w:rFonts w:ascii="Times New Roman" w:hAnsi="Times New Roman" w:cs="Times New Roman"/>
                <w:sz w:val="20"/>
                <w:lang w:val="en-US" w:eastAsia="zh-CN"/>
              </w:rPr>
            </w:pPr>
            <w:r w:rsidRPr="00AE4C63">
              <w:rPr>
                <w:rFonts w:ascii="Times New Roman" w:hAnsi="Times New Roman" w:cs="Times New Roman"/>
                <w:sz w:val="20"/>
                <w:lang w:val="en-US" w:eastAsia="zh-CN"/>
              </w:rPr>
              <w:t>Proposal 8: The eNB can dynamically override the puncturing via DCI under certain conditions.</w:t>
            </w:r>
          </w:p>
        </w:tc>
      </w:tr>
      <w:tr w:rsidR="00161339" w:rsidRPr="001A73FF" w14:paraId="35984124" w14:textId="77777777" w:rsidTr="005B35B5">
        <w:tc>
          <w:tcPr>
            <w:tcW w:w="2830" w:type="dxa"/>
          </w:tcPr>
          <w:p w14:paraId="50A50088" w14:textId="2B4325B2" w:rsidR="00161339" w:rsidRDefault="00161339"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_Ref21690946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6799" w:type="dxa"/>
          </w:tcPr>
          <w:p w14:paraId="65124908" w14:textId="77777777" w:rsidR="00161339" w:rsidRPr="00AE4C63" w:rsidRDefault="00161339" w:rsidP="005B35B5">
            <w:pPr>
              <w:rPr>
                <w:rFonts w:ascii="Times New Roman" w:hAnsi="Times New Roman" w:cs="Times New Roman"/>
                <w:sz w:val="20"/>
                <w:szCs w:val="20"/>
              </w:rPr>
            </w:pPr>
            <w:r w:rsidRPr="00AE4C63">
              <w:rPr>
                <w:rFonts w:ascii="Times New Roman" w:hAnsi="Times New Roman" w:cs="Times New Roman"/>
                <w:sz w:val="20"/>
                <w:szCs w:val="20"/>
              </w:rPr>
              <w:t>Proposal 1: For Rel-16 LTE-MTC UEs, when the feature of puncturing subcarrier is semi-statically configured, maximum number of punctured subcarriers is configured by SIB.</w:t>
            </w:r>
          </w:p>
          <w:p w14:paraId="098899C4" w14:textId="77777777" w:rsidR="00161339" w:rsidRPr="00AE4C63" w:rsidRDefault="00161339" w:rsidP="005B35B5">
            <w:pPr>
              <w:pStyle w:val="ListParagraph"/>
              <w:numPr>
                <w:ilvl w:val="0"/>
                <w:numId w:val="28"/>
              </w:numPr>
              <w:rPr>
                <w:rFonts w:ascii="Times New Roman" w:hAnsi="Times New Roman" w:cs="Times New Roman"/>
                <w:sz w:val="20"/>
                <w:szCs w:val="20"/>
              </w:rPr>
            </w:pPr>
            <w:r w:rsidRPr="00AE4C63">
              <w:rPr>
                <w:rFonts w:ascii="Times New Roman" w:hAnsi="Times New Roman" w:cs="Times New Roman"/>
                <w:sz w:val="20"/>
                <w:szCs w:val="20"/>
              </w:rPr>
              <w:t>The number of punctured subcarriers can be determined by PRB index.</w:t>
            </w:r>
          </w:p>
          <w:p w14:paraId="60E3C3AA" w14:textId="77777777" w:rsidR="00161339" w:rsidRDefault="00161339" w:rsidP="005B35B5">
            <w:pPr>
              <w:pStyle w:val="ListParagraph"/>
              <w:numPr>
                <w:ilvl w:val="0"/>
                <w:numId w:val="28"/>
              </w:numPr>
              <w:rPr>
                <w:rFonts w:ascii="Times New Roman" w:hAnsi="Times New Roman" w:cs="Times New Roman"/>
                <w:sz w:val="20"/>
                <w:szCs w:val="20"/>
              </w:rPr>
            </w:pPr>
            <w:r w:rsidRPr="00AE4C63">
              <w:rPr>
                <w:rFonts w:ascii="Times New Roman" w:hAnsi="Times New Roman" w:cs="Times New Roman"/>
                <w:sz w:val="20"/>
                <w:szCs w:val="20"/>
              </w:rPr>
              <w:t xml:space="preserve">For PDSCH channel, dynamic DCI signalling is used to indicate whether to puncture the outlying subcarriers. </w:t>
            </w:r>
          </w:p>
          <w:p w14:paraId="1CD64546" w14:textId="77777777" w:rsidR="006274D5" w:rsidRPr="0024148C" w:rsidRDefault="006274D5" w:rsidP="006274D5">
            <w:pPr>
              <w:rPr>
                <w:rFonts w:ascii="Times New Roman" w:hAnsi="Times New Roman" w:cs="Times New Roman"/>
                <w:sz w:val="20"/>
                <w:szCs w:val="20"/>
              </w:rPr>
            </w:pPr>
            <w:r w:rsidRPr="0024148C">
              <w:rPr>
                <w:rFonts w:ascii="Times New Roman" w:hAnsi="Times New Roman" w:cs="Times New Roman"/>
                <w:sz w:val="20"/>
                <w:szCs w:val="20"/>
              </w:rPr>
              <w:t>Proposal 2: For MPDCCH channel, the REs other than CRS RE(s) at the outlying subcarrier are always punctured once the feature of puncturing the outlying subcarrier is semi-statically configured.</w:t>
            </w:r>
          </w:p>
          <w:p w14:paraId="587FB038" w14:textId="632C5336" w:rsidR="006274D5" w:rsidRPr="00AE4C63" w:rsidRDefault="006274D5" w:rsidP="006274D5">
            <w:pPr>
              <w:pStyle w:val="ListParagraph"/>
              <w:numPr>
                <w:ilvl w:val="0"/>
                <w:numId w:val="28"/>
              </w:numPr>
              <w:rPr>
                <w:rFonts w:ascii="Times New Roman" w:hAnsi="Times New Roman" w:cs="Times New Roman"/>
                <w:sz w:val="20"/>
                <w:szCs w:val="20"/>
              </w:rPr>
            </w:pPr>
            <w:r w:rsidRPr="0024148C">
              <w:rPr>
                <w:rFonts w:ascii="Times New Roman" w:hAnsi="Times New Roman" w:cs="Times New Roman"/>
                <w:sz w:val="20"/>
                <w:szCs w:val="20"/>
              </w:rPr>
              <w:t>The number of punctured subcarriers can be determined by PRB index.</w:t>
            </w:r>
          </w:p>
        </w:tc>
      </w:tr>
      <w:tr w:rsidR="008B0695" w:rsidRPr="00AC02B7" w14:paraId="57A9A3AC" w14:textId="77777777" w:rsidTr="005B35B5">
        <w:tc>
          <w:tcPr>
            <w:tcW w:w="2830" w:type="dxa"/>
          </w:tcPr>
          <w:p w14:paraId="028220CD" w14:textId="79215BC9" w:rsidR="008B0695" w:rsidRPr="008B0695" w:rsidRDefault="008B0695" w:rsidP="008B0695">
            <w:pPr>
              <w:rPr>
                <w:rFonts w:ascii="Times New Roman" w:hAnsi="Times New Roman" w:cs="Times New Roman"/>
                <w:b/>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6799" w:type="dxa"/>
          </w:tcPr>
          <w:p w14:paraId="5531196F" w14:textId="33A75347" w:rsidR="008B0695" w:rsidRPr="008B0695" w:rsidRDefault="008B0695" w:rsidP="008B0695">
            <w:pPr>
              <w:rPr>
                <w:rFonts w:ascii="Times New Roman" w:hAnsi="Times New Roman" w:cs="Times New Roman"/>
                <w:b/>
                <w:sz w:val="20"/>
                <w:szCs w:val="20"/>
              </w:rPr>
            </w:pPr>
            <w:r w:rsidRPr="005534AF">
              <w:rPr>
                <w:rFonts w:ascii="Times New Roman" w:hAnsi="Times New Roman" w:cs="Times New Roman"/>
                <w:sz w:val="20"/>
                <w:szCs w:val="20"/>
              </w:rPr>
              <w:t>Proposal 8: LTE-MTC DL subcarriers puncturing is configured based on UE capability</w:t>
            </w:r>
          </w:p>
        </w:tc>
      </w:tr>
      <w:tr w:rsidR="00161339" w:rsidRPr="00AC02B7" w14:paraId="4D631DD1" w14:textId="77777777" w:rsidTr="005B35B5">
        <w:tc>
          <w:tcPr>
            <w:tcW w:w="2830" w:type="dxa"/>
          </w:tcPr>
          <w:p w14:paraId="2D07D207" w14:textId="7F8B401B" w:rsidR="00161339" w:rsidRDefault="00161339" w:rsidP="005B35B5">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_Ref21690959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NTT DOCOMO, INC.</w:t>
            </w:r>
          </w:p>
        </w:tc>
        <w:tc>
          <w:tcPr>
            <w:tcW w:w="6799" w:type="dxa"/>
          </w:tcPr>
          <w:p w14:paraId="2011291E" w14:textId="77777777" w:rsidR="00161339" w:rsidRPr="00AC02B7" w:rsidRDefault="00161339" w:rsidP="005B35B5">
            <w:pPr>
              <w:rPr>
                <w:rFonts w:ascii="Times New Roman" w:hAnsi="Times New Roman" w:cs="Times New Roman"/>
                <w:sz w:val="20"/>
                <w:szCs w:val="20"/>
              </w:rPr>
            </w:pPr>
            <w:r w:rsidRPr="00832DAC">
              <w:rPr>
                <w:rFonts w:ascii="Times New Roman" w:hAnsi="Times New Roman" w:cs="Times New Roman"/>
                <w:sz w:val="20"/>
                <w:szCs w:val="20"/>
              </w:rPr>
              <w:t>Proposal 2: The maximum number of punctured subcarriers and their locations are configured by SIB.</w:t>
            </w:r>
          </w:p>
        </w:tc>
      </w:tr>
    </w:tbl>
    <w:p w14:paraId="6E7BC46C" w14:textId="77777777" w:rsidR="00161339" w:rsidRDefault="00161339" w:rsidP="00161339">
      <w:pPr>
        <w:pStyle w:val="BodyText"/>
        <w:rPr>
          <w:rFonts w:ascii="Arial" w:hAnsi="Arial" w:cs="Arial"/>
          <w:sz w:val="20"/>
          <w:lang w:val="en-US"/>
        </w:rPr>
      </w:pPr>
    </w:p>
    <w:p w14:paraId="5816EF1C" w14:textId="77777777" w:rsidR="00713387" w:rsidRPr="00CD73AB" w:rsidRDefault="00713387" w:rsidP="00713387">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LTE-MTC DL subcarrier puncturing is an optional UE capability.</w:t>
      </w:r>
    </w:p>
    <w:p w14:paraId="1D2B59D9" w14:textId="16C5B36F" w:rsidR="00161339" w:rsidRDefault="008E2E18" w:rsidP="00161339">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8E2E18">
        <w:rPr>
          <w:rFonts w:ascii="Arial" w:hAnsi="Arial" w:cs="Arial"/>
          <w:sz w:val="20"/>
          <w:szCs w:val="20"/>
          <w:lang w:val="en-US"/>
        </w:rPr>
        <w:t xml:space="preserve">The </w:t>
      </w:r>
      <w:r w:rsidR="002A5327">
        <w:rPr>
          <w:rFonts w:ascii="Arial" w:hAnsi="Arial" w:cs="Arial"/>
          <w:sz w:val="20"/>
          <w:szCs w:val="20"/>
          <w:lang w:val="en-US"/>
        </w:rPr>
        <w:t xml:space="preserve">[maximum] </w:t>
      </w:r>
      <w:r w:rsidRPr="008E2E18">
        <w:rPr>
          <w:rFonts w:ascii="Arial" w:hAnsi="Arial" w:cs="Arial"/>
          <w:sz w:val="20"/>
          <w:szCs w:val="20"/>
          <w:lang w:val="en-US"/>
        </w:rPr>
        <w:t>number of punctured subcarriers and their locations are configured by higher layers via SIB</w:t>
      </w:r>
      <w:r w:rsidR="00EF5D86">
        <w:rPr>
          <w:rFonts w:ascii="Arial" w:hAnsi="Arial" w:cs="Arial"/>
          <w:sz w:val="20"/>
          <w:szCs w:val="20"/>
          <w:lang w:val="en-US"/>
        </w:rPr>
        <w:t xml:space="preserve"> (details FFS)</w:t>
      </w:r>
      <w:r>
        <w:rPr>
          <w:rFonts w:ascii="Arial" w:hAnsi="Arial" w:cs="Arial"/>
          <w:sz w:val="20"/>
          <w:szCs w:val="20"/>
          <w:lang w:val="en-US"/>
        </w:rPr>
        <w:t>.</w:t>
      </w:r>
    </w:p>
    <w:p w14:paraId="3A72F09A" w14:textId="2ADFC916" w:rsidR="008E2E18" w:rsidRDefault="008E2E18" w:rsidP="00161339">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8E2E18">
        <w:rPr>
          <w:rFonts w:ascii="Arial" w:hAnsi="Arial" w:cs="Arial"/>
          <w:sz w:val="20"/>
          <w:szCs w:val="20"/>
          <w:lang w:val="en-US"/>
        </w:rPr>
        <w:t xml:space="preserve">It is FFS whether </w:t>
      </w:r>
      <w:r>
        <w:rPr>
          <w:rFonts w:ascii="Arial" w:hAnsi="Arial" w:cs="Arial"/>
          <w:sz w:val="20"/>
          <w:szCs w:val="20"/>
          <w:lang w:val="en-US"/>
        </w:rPr>
        <w:t>[</w:t>
      </w:r>
      <w:r w:rsidRPr="008E2E18">
        <w:rPr>
          <w:rFonts w:ascii="Arial" w:hAnsi="Arial" w:cs="Arial"/>
          <w:sz w:val="20"/>
          <w:szCs w:val="20"/>
          <w:lang w:val="en-US"/>
        </w:rPr>
        <w:t>DCI</w:t>
      </w:r>
      <w:r>
        <w:rPr>
          <w:rFonts w:ascii="Arial" w:hAnsi="Arial" w:cs="Arial"/>
          <w:sz w:val="20"/>
          <w:szCs w:val="20"/>
          <w:lang w:val="en-US"/>
        </w:rPr>
        <w:t xml:space="preserve"> or UE-specific RRC signaling]</w:t>
      </w:r>
      <w:r w:rsidRPr="008E2E18">
        <w:rPr>
          <w:rFonts w:ascii="Arial" w:hAnsi="Arial" w:cs="Arial"/>
          <w:sz w:val="20"/>
          <w:szCs w:val="20"/>
          <w:lang w:val="en-US"/>
        </w:rPr>
        <w:t xml:space="preserve"> can override or modify the </w:t>
      </w:r>
      <w:r w:rsidR="00822FA3">
        <w:rPr>
          <w:rFonts w:ascii="Arial" w:hAnsi="Arial" w:cs="Arial"/>
          <w:sz w:val="20"/>
          <w:szCs w:val="20"/>
          <w:lang w:val="en-US"/>
        </w:rPr>
        <w:t>SIB</w:t>
      </w:r>
      <w:r w:rsidRPr="008E2E18">
        <w:rPr>
          <w:rFonts w:ascii="Arial" w:hAnsi="Arial" w:cs="Arial"/>
          <w:sz w:val="20"/>
          <w:szCs w:val="20"/>
          <w:lang w:val="en-US"/>
        </w:rPr>
        <w:t xml:space="preserve"> configuration</w:t>
      </w:r>
      <w:r>
        <w:rPr>
          <w:rFonts w:ascii="Arial" w:hAnsi="Arial" w:cs="Arial"/>
          <w:sz w:val="20"/>
          <w:szCs w:val="20"/>
          <w:lang w:val="en-US"/>
        </w:rPr>
        <w:t>.</w:t>
      </w:r>
    </w:p>
    <w:p w14:paraId="2322A1FD" w14:textId="77777777" w:rsidR="00161339" w:rsidRDefault="00161339" w:rsidP="00161339">
      <w:pPr>
        <w:pStyle w:val="BodyText"/>
        <w:rPr>
          <w:rFonts w:ascii="Arial" w:hAnsi="Arial" w:cs="Arial"/>
          <w:sz w:val="20"/>
          <w:lang w:val="en-US"/>
        </w:rPr>
      </w:pPr>
    </w:p>
    <w:p w14:paraId="23819787" w14:textId="15554D8D" w:rsidR="009019C9" w:rsidRPr="00F93282" w:rsidRDefault="00972333" w:rsidP="009019C9">
      <w:pPr>
        <w:pStyle w:val="BodyText"/>
        <w:rPr>
          <w:rFonts w:ascii="Arial" w:hAnsi="Arial" w:cs="Arial"/>
          <w:sz w:val="20"/>
          <w:lang w:val="en-US"/>
        </w:rPr>
      </w:pPr>
      <w:r>
        <w:rPr>
          <w:rFonts w:ascii="Arial" w:hAnsi="Arial" w:cs="Arial"/>
          <w:sz w:val="20"/>
          <w:lang w:val="en-US"/>
        </w:rPr>
        <w:t xml:space="preserve">The table below summarizes proposals related to </w:t>
      </w:r>
      <w:r w:rsidR="00E2480E" w:rsidRPr="00E2480E">
        <w:rPr>
          <w:rFonts w:ascii="Arial" w:hAnsi="Arial" w:cs="Arial"/>
          <w:sz w:val="20"/>
          <w:lang w:val="en-US"/>
        </w:rPr>
        <w:t>whether the LTE-MTC DL subcarrier puncturing applies per scheduled transmission and/or per narrowband and/or per system bandwidth</w:t>
      </w:r>
      <w:r w:rsidR="00B611BA">
        <w:rPr>
          <w:rFonts w:ascii="Arial" w:hAnsi="Arial" w:cs="Arial"/>
          <w:sz w:val="20"/>
          <w:lang w:val="en-US"/>
        </w:rPr>
        <w:t>.</w:t>
      </w:r>
    </w:p>
    <w:tbl>
      <w:tblPr>
        <w:tblStyle w:val="TableGrid"/>
        <w:tblW w:w="0" w:type="auto"/>
        <w:tblLook w:val="04A0" w:firstRow="1" w:lastRow="0" w:firstColumn="1" w:lastColumn="0" w:noHBand="0" w:noVBand="1"/>
      </w:tblPr>
      <w:tblGrid>
        <w:gridCol w:w="2830"/>
        <w:gridCol w:w="6799"/>
      </w:tblGrid>
      <w:tr w:rsidR="009019C9" w:rsidRPr="001A73FF" w14:paraId="6EB2EEA6" w14:textId="77777777" w:rsidTr="005B35B5">
        <w:tc>
          <w:tcPr>
            <w:tcW w:w="2830" w:type="dxa"/>
          </w:tcPr>
          <w:p w14:paraId="3D9EEAF0" w14:textId="287C995B" w:rsidR="009019C9" w:rsidRPr="003E082E" w:rsidRDefault="009019C9"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_Ref21690879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3E082E">
              <w:rPr>
                <w:rFonts w:ascii="Times New Roman" w:hAnsi="Times New Roman" w:cs="Times New Roman"/>
                <w:sz w:val="20"/>
                <w:lang w:eastAsia="zh-CN"/>
              </w:rPr>
              <w:t>Ericsson</w:t>
            </w:r>
          </w:p>
        </w:tc>
        <w:tc>
          <w:tcPr>
            <w:tcW w:w="6799" w:type="dxa"/>
          </w:tcPr>
          <w:p w14:paraId="450512E7" w14:textId="24ED0DED" w:rsidR="009019C9" w:rsidRPr="00F93282" w:rsidRDefault="009019C9" w:rsidP="005B35B5">
            <w:pPr>
              <w:rPr>
                <w:rFonts w:ascii="Times New Roman" w:hAnsi="Times New Roman" w:cs="Times New Roman"/>
                <w:sz w:val="20"/>
                <w:lang w:val="en-US" w:eastAsia="zh-CN"/>
              </w:rPr>
            </w:pPr>
            <w:r w:rsidRPr="00166D97">
              <w:rPr>
                <w:rFonts w:ascii="Times New Roman" w:hAnsi="Times New Roman" w:cs="Times New Roman"/>
                <w:sz w:val="20"/>
                <w:lang w:val="en-US" w:eastAsia="zh-CN"/>
              </w:rPr>
              <w:t>Proposal 5</w:t>
            </w:r>
            <w:r>
              <w:rPr>
                <w:rFonts w:ascii="Times New Roman" w:hAnsi="Times New Roman" w:cs="Times New Roman"/>
                <w:sz w:val="20"/>
                <w:lang w:val="en-US" w:eastAsia="zh-CN"/>
              </w:rPr>
              <w:t xml:space="preserve">: </w:t>
            </w:r>
            <w:r w:rsidRPr="00166D97">
              <w:rPr>
                <w:rFonts w:ascii="Times New Roman" w:hAnsi="Times New Roman" w:cs="Times New Roman"/>
                <w:sz w:val="20"/>
                <w:lang w:val="en-US" w:eastAsia="zh-CN"/>
              </w:rPr>
              <w:t>A configuration parameter indicates whether the puncturing is applied at the narrowband edges or also within narrowbands (per transmission for PDSCH and per PRB set for MPDCCH).</w:t>
            </w:r>
          </w:p>
        </w:tc>
      </w:tr>
      <w:tr w:rsidR="009019C9" w:rsidRPr="001A73FF" w14:paraId="27AAB8AB" w14:textId="77777777" w:rsidTr="005B35B5">
        <w:tc>
          <w:tcPr>
            <w:tcW w:w="2830" w:type="dxa"/>
          </w:tcPr>
          <w:p w14:paraId="617A4220" w14:textId="4E02AD1E" w:rsidR="009019C9" w:rsidRPr="003E082E" w:rsidRDefault="009019C9"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_Ref21690892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3E082E">
              <w:rPr>
                <w:rFonts w:ascii="Times New Roman" w:hAnsi="Times New Roman" w:cs="Times New Roman"/>
                <w:sz w:val="20"/>
                <w:lang w:eastAsia="zh-CN"/>
              </w:rPr>
              <w:t>Huawei, HiSilicon</w:t>
            </w:r>
          </w:p>
        </w:tc>
        <w:tc>
          <w:tcPr>
            <w:tcW w:w="6799" w:type="dxa"/>
          </w:tcPr>
          <w:p w14:paraId="52E9F236" w14:textId="77777777" w:rsidR="00A2612F" w:rsidRDefault="009019C9" w:rsidP="005B35B5">
            <w:pPr>
              <w:rPr>
                <w:rFonts w:ascii="Times New Roman" w:hAnsi="Times New Roman" w:cs="Times New Roman"/>
                <w:sz w:val="20"/>
                <w:lang w:val="en-US" w:eastAsia="zh-CN"/>
              </w:rPr>
            </w:pPr>
            <w:r w:rsidRPr="00222E06">
              <w:rPr>
                <w:rFonts w:ascii="Times New Roman" w:hAnsi="Times New Roman" w:cs="Times New Roman"/>
                <w:sz w:val="20"/>
                <w:lang w:val="en-US" w:eastAsia="zh-CN"/>
              </w:rPr>
              <w:t>Proposal 1: The LTE-MTC DL subcarrier puncturing only applies per system bandwidth and is supported on both sides of the transmission bandwidth.</w:t>
            </w:r>
          </w:p>
          <w:p w14:paraId="237DAEE1" w14:textId="569730E0" w:rsidR="005D4D30" w:rsidRPr="001E4596" w:rsidRDefault="005D4D30" w:rsidP="005B35B5">
            <w:pPr>
              <w:rPr>
                <w:rFonts w:ascii="Times New Roman" w:hAnsi="Times New Roman" w:cs="Times New Roman"/>
                <w:sz w:val="20"/>
                <w:lang w:val="en-US" w:eastAsia="zh-CN"/>
              </w:rPr>
            </w:pPr>
            <w:r w:rsidRPr="00972333">
              <w:rPr>
                <w:rFonts w:ascii="Times New Roman" w:hAnsi="Times New Roman" w:cs="Times New Roman"/>
                <w:sz w:val="20"/>
                <w:lang w:val="en-US" w:eastAsia="zh-CN"/>
              </w:rPr>
              <w:t>Proposal 3: No new transmission scheme is introduced after the outlying subcarrier is punctured or rate-matched around.</w:t>
            </w:r>
          </w:p>
        </w:tc>
      </w:tr>
      <w:tr w:rsidR="009019C9" w:rsidRPr="001A73FF" w14:paraId="742166A3" w14:textId="77777777" w:rsidTr="005B35B5">
        <w:tc>
          <w:tcPr>
            <w:tcW w:w="2830" w:type="dxa"/>
          </w:tcPr>
          <w:p w14:paraId="5B7B442C" w14:textId="505BD134" w:rsidR="009019C9" w:rsidRPr="003E082E" w:rsidRDefault="009019C9"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_Ref21690941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6799" w:type="dxa"/>
          </w:tcPr>
          <w:p w14:paraId="2E866019" w14:textId="5DE742E3" w:rsidR="009019C9" w:rsidRPr="00C11B2A" w:rsidRDefault="009019C9" w:rsidP="005B35B5">
            <w:pPr>
              <w:rPr>
                <w:rFonts w:ascii="Times New Roman" w:hAnsi="Times New Roman" w:cs="Times New Roman"/>
                <w:sz w:val="20"/>
                <w:lang w:val="en-US" w:eastAsia="zh-CN"/>
              </w:rPr>
            </w:pPr>
            <w:r w:rsidRPr="00222E06">
              <w:rPr>
                <w:rFonts w:ascii="Times New Roman" w:hAnsi="Times New Roman" w:cs="Times New Roman"/>
                <w:sz w:val="20"/>
                <w:lang w:val="en-US" w:eastAsia="zh-CN"/>
              </w:rPr>
              <w:t>Proposal 7: Puncturing applies per system bandwidth.</w:t>
            </w:r>
          </w:p>
        </w:tc>
      </w:tr>
      <w:tr w:rsidR="0006716E" w:rsidRPr="001A73FF" w14:paraId="37512FE2" w14:textId="77777777" w:rsidTr="005B35B5">
        <w:tc>
          <w:tcPr>
            <w:tcW w:w="2830" w:type="dxa"/>
          </w:tcPr>
          <w:p w14:paraId="71E41D6A" w14:textId="15D73845" w:rsidR="0006716E" w:rsidRDefault="0006716E" w:rsidP="000671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_Ref21690946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6799" w:type="dxa"/>
          </w:tcPr>
          <w:p w14:paraId="7C966756" w14:textId="77777777" w:rsidR="0006716E" w:rsidRPr="00AE4C63" w:rsidRDefault="0006716E" w:rsidP="0006716E">
            <w:pPr>
              <w:rPr>
                <w:rFonts w:ascii="Times New Roman" w:hAnsi="Times New Roman" w:cs="Times New Roman"/>
                <w:sz w:val="20"/>
                <w:szCs w:val="20"/>
              </w:rPr>
            </w:pPr>
            <w:r w:rsidRPr="00AE4C63">
              <w:rPr>
                <w:rFonts w:ascii="Times New Roman" w:hAnsi="Times New Roman" w:cs="Times New Roman"/>
                <w:sz w:val="20"/>
                <w:szCs w:val="20"/>
              </w:rPr>
              <w:t>Proposal 1: For Rel-16 LTE-MTC UEs, when the feature of puncturing subcarrier is semi-statically configured, maximum number of punctured subcarriers is configured by SIB.</w:t>
            </w:r>
          </w:p>
          <w:p w14:paraId="310737E4" w14:textId="77777777" w:rsidR="0006716E" w:rsidRPr="00AE4C63" w:rsidRDefault="0006716E" w:rsidP="0006716E">
            <w:pPr>
              <w:pStyle w:val="ListParagraph"/>
              <w:numPr>
                <w:ilvl w:val="0"/>
                <w:numId w:val="28"/>
              </w:numPr>
              <w:rPr>
                <w:rFonts w:ascii="Times New Roman" w:hAnsi="Times New Roman" w:cs="Times New Roman"/>
                <w:sz w:val="20"/>
                <w:szCs w:val="20"/>
              </w:rPr>
            </w:pPr>
            <w:r w:rsidRPr="00AE4C63">
              <w:rPr>
                <w:rFonts w:ascii="Times New Roman" w:hAnsi="Times New Roman" w:cs="Times New Roman"/>
                <w:sz w:val="20"/>
                <w:szCs w:val="20"/>
              </w:rPr>
              <w:t>The number of punctured subcarriers can be determined by PRB index.</w:t>
            </w:r>
          </w:p>
          <w:p w14:paraId="57496FC1" w14:textId="4BFF58E4" w:rsidR="0006716E" w:rsidRPr="0095643B" w:rsidRDefault="0006716E" w:rsidP="0006716E">
            <w:pPr>
              <w:pStyle w:val="ListParagraph"/>
              <w:numPr>
                <w:ilvl w:val="0"/>
                <w:numId w:val="28"/>
              </w:numPr>
              <w:rPr>
                <w:rFonts w:ascii="Times New Roman" w:hAnsi="Times New Roman" w:cs="Times New Roman"/>
                <w:sz w:val="20"/>
                <w:szCs w:val="20"/>
              </w:rPr>
            </w:pPr>
            <w:r w:rsidRPr="00AE4C63">
              <w:rPr>
                <w:rFonts w:ascii="Times New Roman" w:hAnsi="Times New Roman" w:cs="Times New Roman"/>
                <w:sz w:val="20"/>
                <w:szCs w:val="20"/>
              </w:rPr>
              <w:t>For PDSCH channel, dynamic DCI signalling is used to indicate whether to puncture the outlying subcarriers.</w:t>
            </w:r>
          </w:p>
        </w:tc>
      </w:tr>
      <w:tr w:rsidR="009019C9" w:rsidRPr="001A73FF" w14:paraId="775894F4" w14:textId="77777777" w:rsidTr="005B35B5">
        <w:tc>
          <w:tcPr>
            <w:tcW w:w="2830" w:type="dxa"/>
          </w:tcPr>
          <w:p w14:paraId="1E0B193A" w14:textId="6B47EFC1" w:rsidR="009019C9" w:rsidRPr="003E082E" w:rsidRDefault="009019C9"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6799" w:type="dxa"/>
          </w:tcPr>
          <w:p w14:paraId="7AB470CE" w14:textId="70E8C348" w:rsidR="009019C9" w:rsidRPr="00AC02B7" w:rsidRDefault="009019C9" w:rsidP="005B35B5">
            <w:pPr>
              <w:rPr>
                <w:rFonts w:ascii="Times New Roman" w:hAnsi="Times New Roman" w:cs="Times New Roman"/>
                <w:sz w:val="20"/>
                <w:szCs w:val="20"/>
              </w:rPr>
            </w:pPr>
            <w:r w:rsidRPr="005534AF">
              <w:rPr>
                <w:rFonts w:ascii="Times New Roman" w:hAnsi="Times New Roman" w:cs="Times New Roman"/>
                <w:sz w:val="20"/>
                <w:szCs w:val="20"/>
              </w:rPr>
              <w:t>Proposal 5: The RB locations of the punctured DL subcarrier is configured for every N consecutive narrowbands</w:t>
            </w:r>
          </w:p>
        </w:tc>
      </w:tr>
      <w:tr w:rsidR="009019C9" w:rsidRPr="001A73FF" w14:paraId="7FBE1F5D" w14:textId="77777777" w:rsidTr="005B35B5">
        <w:tc>
          <w:tcPr>
            <w:tcW w:w="2830" w:type="dxa"/>
          </w:tcPr>
          <w:p w14:paraId="1C575A3E" w14:textId="5541921C" w:rsidR="009019C9" w:rsidRPr="003E082E" w:rsidRDefault="009019C9"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_Ref21690953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6799" w:type="dxa"/>
          </w:tcPr>
          <w:p w14:paraId="5E2DAAE7" w14:textId="77777777" w:rsidR="009019C9" w:rsidRDefault="009019C9" w:rsidP="005B35B5">
            <w:pPr>
              <w:rPr>
                <w:rFonts w:ascii="Times New Roman" w:hAnsi="Times New Roman" w:cs="Times New Roman"/>
                <w:sz w:val="20"/>
                <w:szCs w:val="20"/>
              </w:rPr>
            </w:pPr>
            <w:r w:rsidRPr="004B58BC">
              <w:rPr>
                <w:rFonts w:ascii="Times New Roman" w:hAnsi="Times New Roman" w:cs="Times New Roman"/>
                <w:sz w:val="20"/>
                <w:szCs w:val="20"/>
              </w:rPr>
              <w:t>Proposal 1: As we cannot always assume that NR scheduling information is available to the LTE MTC scheduler, LTE MTC DL subcarrier puncturing per scheduled transmission is not supported in Rel-16 for LTE MTC DL subcarrier puncturing.</w:t>
            </w:r>
          </w:p>
          <w:p w14:paraId="19024A78" w14:textId="77777777" w:rsidR="009019C9" w:rsidRPr="00BE2299" w:rsidRDefault="009019C9" w:rsidP="005B35B5">
            <w:pPr>
              <w:rPr>
                <w:rFonts w:ascii="Times New Roman" w:hAnsi="Times New Roman" w:cs="Times New Roman"/>
                <w:sz w:val="20"/>
                <w:szCs w:val="20"/>
              </w:rPr>
            </w:pPr>
            <w:r w:rsidRPr="00BE2299">
              <w:rPr>
                <w:rFonts w:ascii="Times New Roman" w:hAnsi="Times New Roman" w:cs="Times New Roman"/>
                <w:sz w:val="20"/>
                <w:szCs w:val="20"/>
              </w:rPr>
              <w:t>Proposal 2: Depending on whether the NR can use the resource within/across the LTE system bandwidth, for LTE MTC DL subcarrier puncturing it can be configured by eNB between the following two alternatives.</w:t>
            </w:r>
          </w:p>
          <w:p w14:paraId="07EF9C50" w14:textId="77777777" w:rsidR="009019C9" w:rsidRPr="00BE2299" w:rsidRDefault="009019C9" w:rsidP="005B35B5">
            <w:pPr>
              <w:pStyle w:val="ListParagraph"/>
              <w:numPr>
                <w:ilvl w:val="0"/>
                <w:numId w:val="26"/>
              </w:numPr>
              <w:rPr>
                <w:rFonts w:ascii="Times New Roman" w:hAnsi="Times New Roman" w:cs="Times New Roman"/>
                <w:sz w:val="20"/>
                <w:szCs w:val="20"/>
              </w:rPr>
            </w:pPr>
            <w:r w:rsidRPr="00BE2299">
              <w:rPr>
                <w:rFonts w:ascii="Times New Roman" w:hAnsi="Times New Roman" w:cs="Times New Roman"/>
                <w:sz w:val="20"/>
                <w:szCs w:val="20"/>
              </w:rPr>
              <w:t>LTE MTC DL subcarrier puncturing applies per narrowband</w:t>
            </w:r>
          </w:p>
          <w:p w14:paraId="22B7C99C" w14:textId="5059EAA7" w:rsidR="009019C9" w:rsidRPr="00972333" w:rsidRDefault="009019C9" w:rsidP="005B35B5">
            <w:pPr>
              <w:pStyle w:val="ListParagraph"/>
              <w:numPr>
                <w:ilvl w:val="0"/>
                <w:numId w:val="26"/>
              </w:numPr>
              <w:rPr>
                <w:rFonts w:ascii="Times New Roman" w:hAnsi="Times New Roman" w:cs="Times New Roman"/>
                <w:sz w:val="20"/>
                <w:szCs w:val="20"/>
              </w:rPr>
            </w:pPr>
            <w:r w:rsidRPr="00BE2299">
              <w:rPr>
                <w:rFonts w:ascii="Times New Roman" w:hAnsi="Times New Roman" w:cs="Times New Roman"/>
                <w:sz w:val="20"/>
                <w:szCs w:val="20"/>
              </w:rPr>
              <w:t>LTE MTC DL subcarrier puncturing applies per system bandwidth</w:t>
            </w:r>
          </w:p>
        </w:tc>
      </w:tr>
      <w:tr w:rsidR="009019C9" w:rsidRPr="001A73FF" w14:paraId="42D15E3D" w14:textId="77777777" w:rsidTr="005B35B5">
        <w:tc>
          <w:tcPr>
            <w:tcW w:w="2830" w:type="dxa"/>
          </w:tcPr>
          <w:p w14:paraId="3BC62DBE" w14:textId="40FE4F3C" w:rsidR="009019C9" w:rsidRDefault="009019C9"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_Ref21690959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NTT DOCOMO, INC.</w:t>
            </w:r>
          </w:p>
        </w:tc>
        <w:tc>
          <w:tcPr>
            <w:tcW w:w="6799" w:type="dxa"/>
          </w:tcPr>
          <w:p w14:paraId="6C9C4A0A" w14:textId="4C9ECB60" w:rsidR="009019C9" w:rsidRPr="00AC02B7" w:rsidRDefault="009019C9" w:rsidP="005B35B5">
            <w:pPr>
              <w:rPr>
                <w:rFonts w:ascii="Times New Roman" w:hAnsi="Times New Roman" w:cs="Times New Roman"/>
                <w:sz w:val="20"/>
                <w:szCs w:val="20"/>
              </w:rPr>
            </w:pPr>
            <w:r w:rsidRPr="00832DAC">
              <w:rPr>
                <w:rFonts w:ascii="Times New Roman" w:hAnsi="Times New Roman" w:cs="Times New Roman"/>
                <w:sz w:val="20"/>
                <w:szCs w:val="20"/>
              </w:rPr>
              <w:t>Proposal 1: DL subcarrier puncturing is supported on both sides of narrowband which is configured for eMTC carrier.</w:t>
            </w:r>
          </w:p>
        </w:tc>
      </w:tr>
    </w:tbl>
    <w:p w14:paraId="558D8B3B" w14:textId="77777777" w:rsidR="0098441F" w:rsidRDefault="0098441F" w:rsidP="0098441F">
      <w:pPr>
        <w:pStyle w:val="BodyText"/>
        <w:rPr>
          <w:rFonts w:ascii="Arial" w:hAnsi="Arial" w:cs="Arial"/>
          <w:sz w:val="20"/>
          <w:lang w:val="en-US"/>
        </w:rPr>
      </w:pPr>
    </w:p>
    <w:p w14:paraId="32232C14" w14:textId="0B51D33A" w:rsidR="0098441F" w:rsidRDefault="00F21CB9" w:rsidP="0098441F">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 xml:space="preserve">At least </w:t>
      </w:r>
      <w:r w:rsidR="00D1353D">
        <w:rPr>
          <w:rFonts w:ascii="Arial" w:hAnsi="Arial" w:cs="Arial"/>
          <w:sz w:val="20"/>
          <w:szCs w:val="20"/>
          <w:lang w:val="en-US"/>
        </w:rPr>
        <w:t>LTE-MTC DL subcarrier puncturing per narrowband is supported.</w:t>
      </w:r>
    </w:p>
    <w:p w14:paraId="3351A90D" w14:textId="161904DC" w:rsidR="00D1353D" w:rsidRPr="00CD73AB" w:rsidRDefault="0074128C" w:rsidP="0098441F">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 xml:space="preserve">FFS whether </w:t>
      </w:r>
      <w:r w:rsidR="00F21CB9">
        <w:rPr>
          <w:rFonts w:ascii="Arial" w:hAnsi="Arial" w:cs="Arial"/>
          <w:sz w:val="20"/>
          <w:szCs w:val="20"/>
          <w:lang w:val="en-US"/>
        </w:rPr>
        <w:t>LTE-MTC DL subcarrier puncturing can also be configured to be per transmission or per group of narrowbands or per system bandwidth.</w:t>
      </w:r>
    </w:p>
    <w:p w14:paraId="0A5EC659" w14:textId="77777777" w:rsidR="0098441F" w:rsidRDefault="0098441F" w:rsidP="0098441F">
      <w:pPr>
        <w:pStyle w:val="BodyText"/>
        <w:rPr>
          <w:rFonts w:ascii="Arial" w:hAnsi="Arial" w:cs="Arial"/>
          <w:sz w:val="20"/>
          <w:lang w:val="en-US"/>
        </w:rPr>
      </w:pPr>
    </w:p>
    <w:p w14:paraId="201A59CB" w14:textId="57F65637" w:rsidR="00972333" w:rsidRPr="00F93282" w:rsidRDefault="00972333" w:rsidP="00972333">
      <w:pPr>
        <w:pStyle w:val="BodyText"/>
        <w:rPr>
          <w:rFonts w:ascii="Arial" w:hAnsi="Arial" w:cs="Arial"/>
          <w:sz w:val="20"/>
          <w:lang w:val="en-US"/>
        </w:rPr>
      </w:pPr>
      <w:r>
        <w:rPr>
          <w:rFonts w:ascii="Arial" w:hAnsi="Arial" w:cs="Arial"/>
          <w:sz w:val="20"/>
          <w:lang w:val="en-US"/>
        </w:rPr>
        <w:lastRenderedPageBreak/>
        <w:t xml:space="preserve">The table below summarizes proposals related to handling of </w:t>
      </w:r>
      <w:r w:rsidRPr="00972333">
        <w:rPr>
          <w:rFonts w:ascii="Arial" w:hAnsi="Arial" w:cs="Arial"/>
          <w:sz w:val="20"/>
          <w:lang w:val="en-US"/>
        </w:rPr>
        <w:t>DMRS, CSI-RS and SFBC RE pairs</w:t>
      </w:r>
      <w:r>
        <w:rPr>
          <w:rFonts w:ascii="Arial" w:hAnsi="Arial" w:cs="Arial"/>
          <w:sz w:val="20"/>
          <w:lang w:val="en-US"/>
        </w:rPr>
        <w:t>.</w:t>
      </w:r>
    </w:p>
    <w:tbl>
      <w:tblPr>
        <w:tblStyle w:val="TableGrid"/>
        <w:tblW w:w="0" w:type="auto"/>
        <w:tblLook w:val="04A0" w:firstRow="1" w:lastRow="0" w:firstColumn="1" w:lastColumn="0" w:noHBand="0" w:noVBand="1"/>
      </w:tblPr>
      <w:tblGrid>
        <w:gridCol w:w="2830"/>
        <w:gridCol w:w="6799"/>
      </w:tblGrid>
      <w:tr w:rsidR="00972333" w:rsidRPr="001A73FF" w14:paraId="69A778BA" w14:textId="77777777" w:rsidTr="005B35B5">
        <w:tc>
          <w:tcPr>
            <w:tcW w:w="2830" w:type="dxa"/>
          </w:tcPr>
          <w:p w14:paraId="2DF38036" w14:textId="67A75046" w:rsidR="00972333" w:rsidRPr="003E082E" w:rsidRDefault="00972333"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_Ref21690879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w:t>
            </w:r>
            <w:r w:rsidRPr="003E082E">
              <w:rPr>
                <w:rFonts w:ascii="Times New Roman" w:hAnsi="Times New Roman" w:cs="Times New Roman"/>
                <w:sz w:val="20"/>
                <w:lang w:eastAsia="zh-CN"/>
              </w:rPr>
              <w:t>Ericsson</w:t>
            </w:r>
          </w:p>
        </w:tc>
        <w:tc>
          <w:tcPr>
            <w:tcW w:w="6799" w:type="dxa"/>
          </w:tcPr>
          <w:p w14:paraId="34E91ABB" w14:textId="77777777" w:rsidR="00972333" w:rsidRPr="00972333" w:rsidRDefault="00972333" w:rsidP="005B35B5">
            <w:pPr>
              <w:rPr>
                <w:rFonts w:ascii="Times New Roman" w:hAnsi="Times New Roman" w:cs="Times New Roman"/>
                <w:sz w:val="20"/>
                <w:lang w:val="en-US" w:eastAsia="zh-CN"/>
              </w:rPr>
            </w:pPr>
            <w:r w:rsidRPr="00972333">
              <w:rPr>
                <w:rFonts w:ascii="Times New Roman" w:hAnsi="Times New Roman" w:cs="Times New Roman"/>
                <w:sz w:val="20"/>
                <w:lang w:val="en-US" w:eastAsia="zh-CN"/>
              </w:rPr>
              <w:t>Proposal 6: Outlying subcarrier(s) that carry LTE-M DMRS are not punctured.</w:t>
            </w:r>
          </w:p>
          <w:p w14:paraId="6DB33825" w14:textId="77777777" w:rsidR="00972333" w:rsidRPr="00972333" w:rsidRDefault="00972333" w:rsidP="005B35B5">
            <w:pPr>
              <w:rPr>
                <w:rFonts w:ascii="Times New Roman" w:hAnsi="Times New Roman" w:cs="Times New Roman"/>
                <w:sz w:val="20"/>
                <w:lang w:val="en-US" w:eastAsia="zh-CN"/>
              </w:rPr>
            </w:pPr>
            <w:r w:rsidRPr="00972333">
              <w:rPr>
                <w:rFonts w:ascii="Times New Roman" w:hAnsi="Times New Roman" w:cs="Times New Roman"/>
                <w:sz w:val="20"/>
                <w:lang w:val="en-US" w:eastAsia="zh-CN"/>
              </w:rPr>
              <w:t>Proposal 7: SFBC RE pair can be punctured.</w:t>
            </w:r>
          </w:p>
          <w:p w14:paraId="0F7DD6D6" w14:textId="77777777" w:rsidR="00972333" w:rsidRPr="00972333" w:rsidRDefault="00972333" w:rsidP="005B35B5">
            <w:pPr>
              <w:rPr>
                <w:rFonts w:ascii="Times New Roman" w:hAnsi="Times New Roman" w:cs="Times New Roman"/>
                <w:sz w:val="20"/>
                <w:lang w:val="en-US" w:eastAsia="zh-CN"/>
              </w:rPr>
            </w:pPr>
            <w:r w:rsidRPr="00972333">
              <w:rPr>
                <w:rFonts w:ascii="Times New Roman" w:hAnsi="Times New Roman" w:cs="Times New Roman"/>
                <w:sz w:val="20"/>
                <w:lang w:val="en-US" w:eastAsia="zh-CN"/>
              </w:rPr>
              <w:t>Proposal 8: If one of the REs in an SFBC RE pair is punctured, the other RE is not used.</w:t>
            </w:r>
          </w:p>
        </w:tc>
      </w:tr>
      <w:tr w:rsidR="00972333" w:rsidRPr="001A73FF" w14:paraId="00C4431F" w14:textId="77777777" w:rsidTr="005B35B5">
        <w:tc>
          <w:tcPr>
            <w:tcW w:w="2830" w:type="dxa"/>
          </w:tcPr>
          <w:p w14:paraId="148B433E" w14:textId="065BE087" w:rsidR="00972333" w:rsidRPr="003E082E" w:rsidRDefault="00972333"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_Ref21690941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6799" w:type="dxa"/>
          </w:tcPr>
          <w:p w14:paraId="2E11ED2A" w14:textId="77777777" w:rsidR="00972333" w:rsidRPr="00972333" w:rsidRDefault="00972333" w:rsidP="005B35B5">
            <w:pPr>
              <w:rPr>
                <w:rFonts w:ascii="Times New Roman" w:hAnsi="Times New Roman" w:cs="Times New Roman"/>
                <w:sz w:val="20"/>
                <w:lang w:val="en-US" w:eastAsia="zh-CN"/>
              </w:rPr>
            </w:pPr>
            <w:r w:rsidRPr="00972333">
              <w:rPr>
                <w:rFonts w:ascii="Times New Roman" w:hAnsi="Times New Roman" w:cs="Times New Roman"/>
                <w:sz w:val="20"/>
                <w:lang w:val="en-US" w:eastAsia="zh-CN"/>
              </w:rPr>
              <w:t>Proposal 9: Rel-16 UE cannot expect DMRS to be transmitted in punctured subcarriers.</w:t>
            </w:r>
          </w:p>
        </w:tc>
      </w:tr>
      <w:tr w:rsidR="000906AD" w:rsidRPr="001A73FF" w14:paraId="4EF975CD" w14:textId="77777777" w:rsidTr="005B35B5">
        <w:tc>
          <w:tcPr>
            <w:tcW w:w="2830" w:type="dxa"/>
          </w:tcPr>
          <w:p w14:paraId="3FE8BA62" w14:textId="4E83383E" w:rsidR="000906AD" w:rsidRDefault="000906AD" w:rsidP="000906AD">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_Ref21690946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6799" w:type="dxa"/>
          </w:tcPr>
          <w:p w14:paraId="1F79184E" w14:textId="77777777" w:rsidR="000906AD" w:rsidRPr="0024148C" w:rsidRDefault="000906AD" w:rsidP="000906AD">
            <w:pPr>
              <w:rPr>
                <w:rFonts w:ascii="Times New Roman" w:hAnsi="Times New Roman" w:cs="Times New Roman"/>
                <w:sz w:val="20"/>
                <w:szCs w:val="20"/>
              </w:rPr>
            </w:pPr>
            <w:r w:rsidRPr="0024148C">
              <w:rPr>
                <w:rFonts w:ascii="Times New Roman" w:hAnsi="Times New Roman" w:cs="Times New Roman"/>
                <w:sz w:val="20"/>
                <w:szCs w:val="20"/>
              </w:rPr>
              <w:t>Proposal 2: For MPDCCH channel, the REs other than CRS RE(s) at the outlying subcarrier are always punctured once the feature of puncturing the outlying subcarrier is semi-statically configured.</w:t>
            </w:r>
          </w:p>
          <w:p w14:paraId="5E4317EB" w14:textId="03A61E83" w:rsidR="000906AD" w:rsidRPr="000906AD" w:rsidRDefault="000906AD" w:rsidP="000906AD">
            <w:pPr>
              <w:pStyle w:val="ListParagraph"/>
              <w:numPr>
                <w:ilvl w:val="0"/>
                <w:numId w:val="32"/>
              </w:numPr>
              <w:rPr>
                <w:rFonts w:ascii="Times New Roman" w:hAnsi="Times New Roman" w:cs="Times New Roman"/>
                <w:sz w:val="20"/>
                <w:szCs w:val="20"/>
              </w:rPr>
            </w:pPr>
            <w:r w:rsidRPr="000906AD">
              <w:rPr>
                <w:rFonts w:ascii="Times New Roman" w:hAnsi="Times New Roman" w:cs="Times New Roman"/>
                <w:sz w:val="20"/>
                <w:szCs w:val="20"/>
              </w:rPr>
              <w:t>The number of punctured subcarriers can be determined by PRB index.</w:t>
            </w:r>
          </w:p>
        </w:tc>
      </w:tr>
      <w:tr w:rsidR="00972333" w:rsidRPr="001A73FF" w14:paraId="174374C5" w14:textId="77777777" w:rsidTr="005B35B5">
        <w:tc>
          <w:tcPr>
            <w:tcW w:w="2830" w:type="dxa"/>
          </w:tcPr>
          <w:p w14:paraId="0959E362" w14:textId="0A7ABAD6" w:rsidR="00972333" w:rsidRPr="003E082E" w:rsidRDefault="00972333"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6799" w:type="dxa"/>
          </w:tcPr>
          <w:p w14:paraId="17A819E1" w14:textId="77777777" w:rsidR="00972333" w:rsidRPr="00972333" w:rsidRDefault="00972333" w:rsidP="005B35B5">
            <w:pPr>
              <w:rPr>
                <w:rFonts w:ascii="Times New Roman" w:hAnsi="Times New Roman" w:cs="Times New Roman"/>
                <w:sz w:val="20"/>
                <w:szCs w:val="20"/>
              </w:rPr>
            </w:pPr>
            <w:r w:rsidRPr="00972333">
              <w:rPr>
                <w:rFonts w:ascii="Times New Roman" w:hAnsi="Times New Roman" w:cs="Times New Roman"/>
                <w:sz w:val="20"/>
                <w:szCs w:val="20"/>
              </w:rPr>
              <w:t>Proposal 6: If one RE of the SFBC RE pair is configured as the punctured subcarrier, the SFBC pair is punctured</w:t>
            </w:r>
          </w:p>
          <w:p w14:paraId="34F0DC62" w14:textId="0EB220D5" w:rsidR="00972333" w:rsidRPr="00972333" w:rsidRDefault="00972333" w:rsidP="005B35B5">
            <w:pPr>
              <w:rPr>
                <w:rFonts w:ascii="Times New Roman" w:hAnsi="Times New Roman" w:cs="Times New Roman"/>
                <w:sz w:val="20"/>
                <w:szCs w:val="20"/>
              </w:rPr>
            </w:pPr>
            <w:r w:rsidRPr="00972333">
              <w:rPr>
                <w:rFonts w:ascii="Times New Roman" w:hAnsi="Times New Roman" w:cs="Times New Roman"/>
                <w:sz w:val="20"/>
                <w:szCs w:val="20"/>
              </w:rPr>
              <w:t>Proposal 7: LTE-MTC DMRS and CSI-RS (if configured) are not punctured at outlying subcarriers</w:t>
            </w:r>
          </w:p>
        </w:tc>
      </w:tr>
      <w:tr w:rsidR="00972333" w:rsidRPr="001A73FF" w14:paraId="1E366E27" w14:textId="77777777" w:rsidTr="005B35B5">
        <w:tc>
          <w:tcPr>
            <w:tcW w:w="2830" w:type="dxa"/>
          </w:tcPr>
          <w:p w14:paraId="11E362E4" w14:textId="3E416E9E" w:rsidR="00972333" w:rsidRPr="003E082E" w:rsidRDefault="00972333" w:rsidP="005B35B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_Ref21690953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7F4FA6">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6799" w:type="dxa"/>
          </w:tcPr>
          <w:p w14:paraId="7CD54EA1" w14:textId="77777777" w:rsidR="00972333" w:rsidRPr="00972333" w:rsidRDefault="00972333" w:rsidP="005B35B5">
            <w:pPr>
              <w:rPr>
                <w:rFonts w:ascii="Times New Roman" w:hAnsi="Times New Roman" w:cs="Times New Roman"/>
                <w:sz w:val="20"/>
                <w:szCs w:val="20"/>
              </w:rPr>
            </w:pPr>
            <w:r w:rsidRPr="00972333">
              <w:rPr>
                <w:rFonts w:ascii="Times New Roman" w:hAnsi="Times New Roman" w:cs="Times New Roman"/>
                <w:sz w:val="20"/>
                <w:szCs w:val="20"/>
              </w:rPr>
              <w:t>Proposal 3: LTE MTC DL subcarrier puncturing applies to DMRS, CSI-RS and SFBC RE pairs.</w:t>
            </w:r>
          </w:p>
        </w:tc>
      </w:tr>
    </w:tbl>
    <w:p w14:paraId="2E0565AD" w14:textId="7C18ECC8" w:rsidR="00972333" w:rsidRDefault="00972333" w:rsidP="000532E3">
      <w:pPr>
        <w:pStyle w:val="BodyText"/>
        <w:rPr>
          <w:rFonts w:ascii="Arial" w:hAnsi="Arial" w:cs="Arial"/>
          <w:sz w:val="20"/>
          <w:lang w:val="en-US"/>
        </w:rPr>
      </w:pPr>
    </w:p>
    <w:p w14:paraId="40E935D0" w14:textId="1AC2BD9A" w:rsidR="004A3F5D" w:rsidRDefault="00D73A35" w:rsidP="004A3F5D">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D73A35">
        <w:rPr>
          <w:rFonts w:ascii="Arial" w:hAnsi="Arial" w:cs="Arial"/>
          <w:sz w:val="20"/>
          <w:szCs w:val="20"/>
          <w:lang w:val="en-US"/>
        </w:rPr>
        <w:t>If one RE of the SFBC RE pair is configured as the punctured subcarrier, the SFBC pair is punctured</w:t>
      </w:r>
      <w:r>
        <w:rPr>
          <w:rFonts w:ascii="Arial" w:hAnsi="Arial" w:cs="Arial"/>
          <w:sz w:val="20"/>
          <w:szCs w:val="20"/>
          <w:lang w:val="en-US"/>
        </w:rPr>
        <w:t>.</w:t>
      </w:r>
    </w:p>
    <w:p w14:paraId="3BF07C56" w14:textId="0FD85CFE" w:rsidR="0064221B" w:rsidRPr="00CD73AB" w:rsidRDefault="0064221B" w:rsidP="004A3F5D">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Discuss whether to puncture DMRS and CSI-RS or not.</w:t>
      </w:r>
    </w:p>
    <w:p w14:paraId="4CB17619" w14:textId="4F0C6816" w:rsidR="000532E3" w:rsidRPr="00F93282" w:rsidRDefault="000532E3" w:rsidP="000532E3">
      <w:pPr>
        <w:pStyle w:val="BodyText"/>
        <w:rPr>
          <w:rFonts w:ascii="Arial" w:hAnsi="Arial" w:cs="Arial"/>
          <w:sz w:val="20"/>
          <w:lang w:val="en-US"/>
        </w:rPr>
      </w:pPr>
    </w:p>
    <w:p w14:paraId="4E968DD4" w14:textId="25E436F9" w:rsidR="00B31A27" w:rsidRDefault="00097077" w:rsidP="00B31A27">
      <w:pPr>
        <w:pStyle w:val="Heading1"/>
      </w:pPr>
      <w:r>
        <w:t>LTE-M</w:t>
      </w:r>
      <w:r w:rsidR="003B2874">
        <w:t>TC</w:t>
      </w:r>
      <w:r>
        <w:t xml:space="preserve"> r</w:t>
      </w:r>
      <w:r w:rsidR="00857023">
        <w:t xml:space="preserve">esource </w:t>
      </w:r>
      <w:r w:rsidR="00AB7269">
        <w:t>reservation</w:t>
      </w:r>
    </w:p>
    <w:p w14:paraId="2F79F472" w14:textId="533FF976" w:rsidR="00903679" w:rsidRPr="00903679" w:rsidRDefault="00903679" w:rsidP="00903679">
      <w:pPr>
        <w:pStyle w:val="BodyText"/>
        <w:rPr>
          <w:rFonts w:ascii="Arial" w:hAnsi="Arial" w:cs="Arial"/>
          <w:sz w:val="20"/>
          <w:lang w:val="en-US"/>
        </w:rPr>
      </w:pPr>
      <w:r w:rsidRPr="00903679">
        <w:rPr>
          <w:rFonts w:ascii="Arial" w:hAnsi="Arial" w:cs="Arial"/>
          <w:sz w:val="20"/>
          <w:lang w:val="en-US"/>
        </w:rPr>
        <w:t>In RAN1#98, the following agreements were made</w:t>
      </w:r>
      <w:r>
        <w:rPr>
          <w:rFonts w:ascii="Arial" w:hAnsi="Arial" w:cs="Arial"/>
          <w:sz w:val="20"/>
          <w:lang w:val="en-US"/>
        </w:rPr>
        <w:t xml:space="preserve"> regarding “</w:t>
      </w:r>
      <w:r w:rsidRPr="00B8243D">
        <w:rPr>
          <w:rFonts w:ascii="Arial" w:hAnsi="Arial" w:cs="Arial"/>
          <w:sz w:val="20"/>
          <w:lang w:val="en-US"/>
        </w:rPr>
        <w:t>LTE-MTC resource reservation at least in the time domain with at least one of slot-level and symbol-level granularity at least in DL to avoid resource overlap between NR and LTE-MTC when LTE-MTC is deployed within an NR carrier</w:t>
      </w:r>
      <w:r>
        <w:rPr>
          <w:rFonts w:ascii="Arial" w:hAnsi="Arial" w:cs="Arial"/>
          <w:sz w:val="20"/>
          <w:lang w:val="en-US"/>
        </w:rPr>
        <w:t>”.</w:t>
      </w:r>
    </w:p>
    <w:tbl>
      <w:tblPr>
        <w:tblStyle w:val="TableGrid"/>
        <w:tblW w:w="0" w:type="auto"/>
        <w:tblLook w:val="04A0" w:firstRow="1" w:lastRow="0" w:firstColumn="1" w:lastColumn="0" w:noHBand="0" w:noVBand="1"/>
      </w:tblPr>
      <w:tblGrid>
        <w:gridCol w:w="9629"/>
      </w:tblGrid>
      <w:tr w:rsidR="00903679" w:rsidRPr="001174E5" w14:paraId="50574C18" w14:textId="77777777" w:rsidTr="005B35B5">
        <w:tc>
          <w:tcPr>
            <w:tcW w:w="9629" w:type="dxa"/>
          </w:tcPr>
          <w:p w14:paraId="17CD362C" w14:textId="77777777" w:rsidR="00C46529" w:rsidRPr="00C46529" w:rsidRDefault="00C46529" w:rsidP="00C46529">
            <w:pPr>
              <w:tabs>
                <w:tab w:val="left" w:pos="0"/>
              </w:tabs>
              <w:spacing w:after="0" w:line="240" w:lineRule="auto"/>
              <w:jc w:val="both"/>
              <w:rPr>
                <w:rFonts w:ascii="Times" w:eastAsia="Times New Roman" w:hAnsi="Times" w:cs="Times"/>
                <w:b/>
                <w:bCs/>
                <w:sz w:val="20"/>
                <w:szCs w:val="20"/>
                <w:highlight w:val="green"/>
                <w:lang w:val="en-US" w:eastAsia="zh-CN"/>
              </w:rPr>
            </w:pPr>
            <w:r w:rsidRPr="00C46529">
              <w:rPr>
                <w:rFonts w:ascii="Times" w:eastAsia="Times New Roman" w:hAnsi="Times" w:cs="Times"/>
                <w:b/>
                <w:bCs/>
                <w:sz w:val="20"/>
                <w:szCs w:val="20"/>
                <w:highlight w:val="green"/>
                <w:lang w:val="en-US" w:eastAsia="zh-CN"/>
              </w:rPr>
              <w:t>Agreement</w:t>
            </w:r>
          </w:p>
          <w:p w14:paraId="36A3E929"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LTE-MTC DL time-domain resource reservation is supported with a finer granularity than slot level. Transmissions in these reserved resources are dropped.</w:t>
            </w:r>
          </w:p>
          <w:p w14:paraId="4934A60E" w14:textId="77777777" w:rsidR="00C46529" w:rsidRPr="00C46529" w:rsidRDefault="00C46529" w:rsidP="00C46529">
            <w:pPr>
              <w:numPr>
                <w:ilvl w:val="1"/>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FFS: How to handle DMRS</w:t>
            </w:r>
          </w:p>
          <w:p w14:paraId="03D350F7"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Support LTE-MTC DL time-domain resources reservation with slot-level granularity. Transmissions in these reserved resources are dropped.</w:t>
            </w:r>
          </w:p>
          <w:p w14:paraId="5CD5BA18"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Whether to support LTE-MTC UL time-domain resource reservation and/or LTE-MTC DL frequency-domain resource reservation is FFS.</w:t>
            </w:r>
          </w:p>
          <w:p w14:paraId="0E510490"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The LTE-MTC resource reservation is configured by higher layers via [SIB or UE-specific RRC signaling]. It is FFS whether DCI can override or modify the higher-layer configuration.</w:t>
            </w:r>
          </w:p>
          <w:p w14:paraId="4CAE75F7" w14:textId="77777777" w:rsid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It is FFS whether/how the higher layer configuration relates to the existing Rel-13 parameters for LTE-MTC valid subframe configuration and MBSFN configuration.</w:t>
            </w:r>
          </w:p>
          <w:p w14:paraId="5DC45755" w14:textId="29AC2905" w:rsidR="00C46529" w:rsidRPr="00C46529" w:rsidRDefault="00C46529" w:rsidP="00C46529">
            <w:pPr>
              <w:tabs>
                <w:tab w:val="left" w:pos="0"/>
              </w:tabs>
              <w:spacing w:after="0" w:line="240" w:lineRule="auto"/>
              <w:jc w:val="both"/>
              <w:rPr>
                <w:rFonts w:ascii="Times" w:eastAsia="Times New Roman" w:hAnsi="Times" w:cs="Times"/>
                <w:sz w:val="20"/>
                <w:szCs w:val="20"/>
                <w:lang w:val="en-US" w:eastAsia="zh-CN"/>
              </w:rPr>
            </w:pPr>
          </w:p>
        </w:tc>
      </w:tr>
    </w:tbl>
    <w:p w14:paraId="7084BE00" w14:textId="2DC339A0" w:rsidR="00903679" w:rsidRDefault="00903679" w:rsidP="00B8243D">
      <w:pPr>
        <w:pStyle w:val="BodyText"/>
        <w:rPr>
          <w:rFonts w:ascii="Arial" w:hAnsi="Arial" w:cs="Arial"/>
          <w:sz w:val="20"/>
          <w:lang w:val="en-US"/>
        </w:rPr>
      </w:pPr>
    </w:p>
    <w:p w14:paraId="20F7BBE9" w14:textId="77777777" w:rsidR="00713387" w:rsidRPr="00713387" w:rsidRDefault="00713387" w:rsidP="00713387">
      <w:pPr>
        <w:pStyle w:val="Reference"/>
        <w:numPr>
          <w:ilvl w:val="0"/>
          <w:numId w:val="0"/>
        </w:numPr>
        <w:rPr>
          <w:rFonts w:ascii="Arial" w:hAnsi="Arial" w:cs="Arial"/>
          <w:sz w:val="20"/>
          <w:lang w:val="en-US"/>
        </w:rPr>
      </w:pPr>
      <w:r w:rsidRPr="00713387">
        <w:rPr>
          <w:rFonts w:ascii="Arial" w:hAnsi="Arial" w:cs="Arial"/>
          <w:sz w:val="20"/>
          <w:lang w:val="en-US"/>
        </w:rPr>
        <w:t>The table below summarizes proposals related to the higher-layer configuration.</w:t>
      </w:r>
    </w:p>
    <w:tbl>
      <w:tblPr>
        <w:tblStyle w:val="TableGrid"/>
        <w:tblW w:w="0" w:type="auto"/>
        <w:tblLook w:val="04A0" w:firstRow="1" w:lastRow="0" w:firstColumn="1" w:lastColumn="0" w:noHBand="0" w:noVBand="1"/>
      </w:tblPr>
      <w:tblGrid>
        <w:gridCol w:w="2830"/>
        <w:gridCol w:w="6799"/>
      </w:tblGrid>
      <w:tr w:rsidR="00713387" w:rsidRPr="00713387" w14:paraId="4B2241CA" w14:textId="77777777" w:rsidTr="00DF2CB9">
        <w:tc>
          <w:tcPr>
            <w:tcW w:w="2830" w:type="dxa"/>
          </w:tcPr>
          <w:p w14:paraId="5AF0A565"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_Ref21690879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[2]</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Ericsson</w:t>
            </w:r>
          </w:p>
        </w:tc>
        <w:tc>
          <w:tcPr>
            <w:tcW w:w="6799" w:type="dxa"/>
          </w:tcPr>
          <w:p w14:paraId="5D060608" w14:textId="77777777" w:rsidR="00713387" w:rsidRPr="00713387" w:rsidRDefault="00713387" w:rsidP="00DF2CB9">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14: A bitmap-based scheme is used for reserving LTE-M resources.</w:t>
            </w:r>
          </w:p>
        </w:tc>
      </w:tr>
      <w:tr w:rsidR="00713387" w:rsidRPr="00713387" w14:paraId="4B5B1230" w14:textId="77777777" w:rsidTr="00DF2CB9">
        <w:tc>
          <w:tcPr>
            <w:tcW w:w="2830" w:type="dxa"/>
          </w:tcPr>
          <w:p w14:paraId="7C42B6E6"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lastRenderedPageBreak/>
              <w:fldChar w:fldCharType="begin"/>
            </w:r>
            <w:r w:rsidRPr="00713387">
              <w:rPr>
                <w:rFonts w:ascii="Times New Roman" w:hAnsi="Times New Roman" w:cs="Times New Roman"/>
                <w:sz w:val="20"/>
                <w:lang w:eastAsia="zh-CN"/>
              </w:rPr>
              <w:instrText xml:space="preserve"> REF _Ref21690946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[5]</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ZTE</w:t>
            </w:r>
          </w:p>
        </w:tc>
        <w:tc>
          <w:tcPr>
            <w:tcW w:w="6799" w:type="dxa"/>
          </w:tcPr>
          <w:p w14:paraId="266F9190" w14:textId="77777777" w:rsidR="00713387" w:rsidRPr="00713387" w:rsidRDefault="00713387" w:rsidP="00DF2CB9">
            <w:pPr>
              <w:rPr>
                <w:rFonts w:ascii="Times New Roman" w:hAnsi="Times New Roman" w:cs="Times New Roman"/>
                <w:sz w:val="20"/>
                <w:szCs w:val="20"/>
                <w:lang w:val="en-US"/>
              </w:rPr>
            </w:pPr>
            <w:r w:rsidRPr="00713387">
              <w:rPr>
                <w:rFonts w:ascii="Times New Roman" w:hAnsi="Times New Roman" w:cs="Times New Roman"/>
                <w:sz w:val="20"/>
                <w:szCs w:val="20"/>
                <w:lang w:val="en-US"/>
              </w:rPr>
              <w:t>Proposal 3: For LTE-MTC DL time-domain resources reservation with slot-level granularity or with a finer granularity than slot level, fixed length bitmap(s) can be configured for partial time region within a periodicity.</w:t>
            </w:r>
          </w:p>
          <w:p w14:paraId="21300C78" w14:textId="77777777" w:rsidR="00713387" w:rsidRPr="00713387" w:rsidRDefault="00713387" w:rsidP="00DF2CB9">
            <w:pPr>
              <w:pStyle w:val="ListParagraph"/>
              <w:numPr>
                <w:ilvl w:val="0"/>
                <w:numId w:val="30"/>
              </w:numPr>
              <w:rPr>
                <w:rFonts w:ascii="Times New Roman" w:hAnsi="Times New Roman" w:cs="Times New Roman"/>
                <w:sz w:val="20"/>
                <w:szCs w:val="20"/>
              </w:rPr>
            </w:pPr>
            <w:r w:rsidRPr="00713387">
              <w:rPr>
                <w:rFonts w:ascii="Times New Roman" w:hAnsi="Times New Roman" w:cs="Times New Roman"/>
                <w:sz w:val="20"/>
                <w:szCs w:val="20"/>
              </w:rPr>
              <w:t xml:space="preserve">The periodicity and the time region within the periodicity are signalled to the LTE-MTC UEs by RRC signalling. </w:t>
            </w:r>
          </w:p>
        </w:tc>
      </w:tr>
      <w:tr w:rsidR="00713387" w:rsidRPr="00713387" w14:paraId="72F540C7" w14:textId="77777777" w:rsidTr="00DF2CB9">
        <w:tc>
          <w:tcPr>
            <w:tcW w:w="2830" w:type="dxa"/>
          </w:tcPr>
          <w:p w14:paraId="7FD596EC"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_Ref21690949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[6]</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Qualcomm Incorporated</w:t>
            </w:r>
          </w:p>
        </w:tc>
        <w:tc>
          <w:tcPr>
            <w:tcW w:w="6799" w:type="dxa"/>
          </w:tcPr>
          <w:p w14:paraId="400BD39F" w14:textId="77777777" w:rsidR="00713387" w:rsidRPr="00713387" w:rsidRDefault="00713387" w:rsidP="00DF2CB9">
            <w:pPr>
              <w:rPr>
                <w:rFonts w:ascii="Times New Roman" w:hAnsi="Times New Roman" w:cs="Times New Roman"/>
                <w:sz w:val="20"/>
                <w:szCs w:val="20"/>
              </w:rPr>
            </w:pPr>
            <w:r w:rsidRPr="00713387">
              <w:rPr>
                <w:rFonts w:ascii="Times New Roman" w:hAnsi="Times New Roman" w:cs="Times New Roman"/>
                <w:sz w:val="20"/>
                <w:szCs w:val="20"/>
              </w:rPr>
              <w:t>Proposal 4: For finer granularity resource reservation for LTE-MTC in Rel-16, down-select between the following two options:</w:t>
            </w:r>
          </w:p>
          <w:p w14:paraId="20C24637" w14:textId="77777777" w:rsidR="00713387" w:rsidRPr="00713387" w:rsidRDefault="00713387" w:rsidP="00DF2CB9">
            <w:pPr>
              <w:pStyle w:val="ListParagraph"/>
              <w:numPr>
                <w:ilvl w:val="0"/>
                <w:numId w:val="27"/>
              </w:numPr>
              <w:rPr>
                <w:rFonts w:ascii="Times New Roman" w:hAnsi="Times New Roman" w:cs="Times New Roman"/>
                <w:sz w:val="20"/>
                <w:szCs w:val="20"/>
              </w:rPr>
            </w:pPr>
            <w:r w:rsidRPr="00713387">
              <w:rPr>
                <w:rFonts w:ascii="Times New Roman" w:hAnsi="Times New Roman" w:cs="Times New Roman"/>
                <w:sz w:val="20"/>
                <w:szCs w:val="20"/>
              </w:rPr>
              <w:t>Option 1: Independent configuration from legacy subframe level resource reservation</w:t>
            </w:r>
          </w:p>
          <w:p w14:paraId="580C8272" w14:textId="77777777" w:rsidR="00713387" w:rsidRPr="00713387" w:rsidRDefault="00713387" w:rsidP="00DF2CB9">
            <w:pPr>
              <w:pStyle w:val="ListParagraph"/>
              <w:numPr>
                <w:ilvl w:val="0"/>
                <w:numId w:val="27"/>
              </w:numPr>
              <w:rPr>
                <w:rFonts w:ascii="Times New Roman" w:hAnsi="Times New Roman" w:cs="Times New Roman"/>
                <w:sz w:val="20"/>
                <w:szCs w:val="20"/>
              </w:rPr>
            </w:pPr>
            <w:r w:rsidRPr="00713387">
              <w:rPr>
                <w:rFonts w:ascii="Times New Roman" w:hAnsi="Times New Roman" w:cs="Times New Roman"/>
                <w:sz w:val="20"/>
                <w:szCs w:val="20"/>
              </w:rPr>
              <w:t>Option 2: Consider only invalid subframes from legacy subframe level resource reservation</w:t>
            </w:r>
          </w:p>
        </w:tc>
      </w:tr>
      <w:tr w:rsidR="00713387" w:rsidRPr="00713387" w14:paraId="355F318A" w14:textId="77777777" w:rsidTr="00DF2CB9">
        <w:tc>
          <w:tcPr>
            <w:tcW w:w="2830" w:type="dxa"/>
          </w:tcPr>
          <w:p w14:paraId="45C30BAD"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_Ref21690953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[7]</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LG Electronics</w:t>
            </w:r>
          </w:p>
        </w:tc>
        <w:tc>
          <w:tcPr>
            <w:tcW w:w="6799" w:type="dxa"/>
          </w:tcPr>
          <w:p w14:paraId="66A3CF93" w14:textId="77777777" w:rsidR="00713387" w:rsidRPr="00713387" w:rsidRDefault="00713387" w:rsidP="00DF2CB9">
            <w:pPr>
              <w:rPr>
                <w:rFonts w:ascii="Times New Roman" w:hAnsi="Times New Roman" w:cs="Times New Roman"/>
                <w:sz w:val="20"/>
                <w:szCs w:val="20"/>
              </w:rPr>
            </w:pPr>
            <w:r w:rsidRPr="00713387">
              <w:rPr>
                <w:rFonts w:ascii="Times New Roman" w:hAnsi="Times New Roman" w:cs="Times New Roman"/>
                <w:sz w:val="20"/>
                <w:szCs w:val="20"/>
              </w:rPr>
              <w:t>Proposal 4: LTE-MTC resource reservation for Rel-16 LTE MTC UEs can validate part of the resource within an invalid subframe configured by Rel-13 parameters.</w:t>
            </w:r>
          </w:p>
        </w:tc>
      </w:tr>
    </w:tbl>
    <w:p w14:paraId="1FFC4DA2" w14:textId="77777777" w:rsidR="00713387" w:rsidRPr="00713387" w:rsidRDefault="00713387" w:rsidP="00713387">
      <w:pPr>
        <w:pStyle w:val="Reference"/>
        <w:numPr>
          <w:ilvl w:val="0"/>
          <w:numId w:val="0"/>
        </w:numPr>
        <w:ind w:left="567" w:hanging="567"/>
        <w:rPr>
          <w:rFonts w:ascii="Arial" w:hAnsi="Arial" w:cs="Arial"/>
          <w:sz w:val="20"/>
          <w:lang w:val="en-US"/>
        </w:rPr>
      </w:pPr>
    </w:p>
    <w:p w14:paraId="09519724" w14:textId="51793F35" w:rsidR="00757862" w:rsidRPr="00757862" w:rsidRDefault="00713387" w:rsidP="00757862">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713387">
        <w:rPr>
          <w:rFonts w:ascii="Arial" w:hAnsi="Arial" w:cs="Arial"/>
          <w:sz w:val="20"/>
          <w:szCs w:val="20"/>
          <w:lang w:val="en-US"/>
        </w:rPr>
        <w:t>The higher-layer configuration of LTE-MTC reserved resources is bitmap-based.</w:t>
      </w:r>
      <w:r w:rsidR="00757862">
        <w:rPr>
          <w:rFonts w:ascii="Arial" w:hAnsi="Arial" w:cs="Arial"/>
          <w:sz w:val="20"/>
          <w:szCs w:val="20"/>
          <w:lang w:val="en-US"/>
        </w:rPr>
        <w:t xml:space="preserve"> Discuss the periodicity of the time-domain resource reservation.</w:t>
      </w:r>
    </w:p>
    <w:p w14:paraId="49819018" w14:textId="77777777" w:rsidR="00713387" w:rsidRPr="00713387" w:rsidRDefault="00713387" w:rsidP="00713387">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713387">
        <w:rPr>
          <w:rFonts w:ascii="Arial" w:hAnsi="Arial" w:cs="Arial"/>
          <w:sz w:val="20"/>
          <w:szCs w:val="20"/>
          <w:lang w:val="en-US"/>
        </w:rPr>
        <w:t>Discuss whether there is a need to reserve parts of a subframe that is not configured as a Rel-13 invalid subframe (i.e. to reserve parts of a Rel-13 valid subframe).</w:t>
      </w:r>
    </w:p>
    <w:p w14:paraId="0A81B899" w14:textId="77777777" w:rsidR="00713387" w:rsidRPr="00713387" w:rsidRDefault="00713387" w:rsidP="00713387">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713387">
        <w:rPr>
          <w:rFonts w:ascii="Arial" w:hAnsi="Arial" w:cs="Arial"/>
          <w:sz w:val="20"/>
          <w:szCs w:val="20"/>
          <w:lang w:val="en-US"/>
        </w:rPr>
        <w:t>Discuss whether the higher-layer configuration should be in SIB or UE-specific.</w:t>
      </w:r>
    </w:p>
    <w:p w14:paraId="2D936AD3" w14:textId="77777777" w:rsidR="00713387" w:rsidRPr="00713387" w:rsidRDefault="00713387" w:rsidP="00713387">
      <w:pPr>
        <w:pStyle w:val="Reference"/>
        <w:numPr>
          <w:ilvl w:val="0"/>
          <w:numId w:val="0"/>
        </w:numPr>
        <w:ind w:left="567" w:hanging="567"/>
        <w:rPr>
          <w:rFonts w:ascii="Arial" w:hAnsi="Arial" w:cs="Arial"/>
          <w:sz w:val="20"/>
          <w:lang w:val="en-US"/>
        </w:rPr>
      </w:pPr>
    </w:p>
    <w:p w14:paraId="1091204D" w14:textId="77777777" w:rsidR="00713387" w:rsidRPr="00713387" w:rsidRDefault="00713387" w:rsidP="00713387">
      <w:pPr>
        <w:pStyle w:val="Reference"/>
        <w:numPr>
          <w:ilvl w:val="0"/>
          <w:numId w:val="0"/>
        </w:numPr>
        <w:rPr>
          <w:rFonts w:ascii="Arial" w:hAnsi="Arial" w:cs="Arial"/>
          <w:sz w:val="20"/>
          <w:lang w:val="en-US"/>
        </w:rPr>
      </w:pPr>
      <w:r w:rsidRPr="00713387">
        <w:rPr>
          <w:rFonts w:ascii="Arial" w:hAnsi="Arial" w:cs="Arial"/>
          <w:sz w:val="20"/>
          <w:lang w:val="en-US"/>
        </w:rPr>
        <w:t>The table below summarizes proposals related to whether DCI can override or modify the higher-layer configuration.</w:t>
      </w:r>
    </w:p>
    <w:tbl>
      <w:tblPr>
        <w:tblStyle w:val="TableGrid"/>
        <w:tblW w:w="0" w:type="auto"/>
        <w:tblLook w:val="04A0" w:firstRow="1" w:lastRow="0" w:firstColumn="1" w:lastColumn="0" w:noHBand="0" w:noVBand="1"/>
      </w:tblPr>
      <w:tblGrid>
        <w:gridCol w:w="2830"/>
        <w:gridCol w:w="6799"/>
      </w:tblGrid>
      <w:tr w:rsidR="00713387" w:rsidRPr="00713387" w14:paraId="755CC6E6" w14:textId="77777777" w:rsidTr="00DF2CB9">
        <w:tc>
          <w:tcPr>
            <w:tcW w:w="2830" w:type="dxa"/>
          </w:tcPr>
          <w:p w14:paraId="2A90EC06"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_Ref21690879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[2]</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Ericsson</w:t>
            </w:r>
          </w:p>
        </w:tc>
        <w:tc>
          <w:tcPr>
            <w:tcW w:w="6799" w:type="dxa"/>
          </w:tcPr>
          <w:p w14:paraId="14BB6D4C" w14:textId="77777777" w:rsidR="00713387" w:rsidRPr="00713387" w:rsidRDefault="00713387" w:rsidP="00DF2CB9">
            <w:pPr>
              <w:rPr>
                <w:rFonts w:ascii="Times New Roman" w:hAnsi="Times New Roman" w:cs="Times New Roman"/>
                <w:sz w:val="20"/>
                <w:lang w:val="en-US" w:eastAsia="zh-CN"/>
              </w:rPr>
            </w:pPr>
            <w:r w:rsidRPr="00713387">
              <w:rPr>
                <w:rFonts w:ascii="Times New Roman" w:hAnsi="Times New Roman" w:cs="Times New Roman"/>
                <w:sz w:val="20"/>
                <w:lang w:val="en-US" w:eastAsia="zh-CN"/>
              </w:rPr>
              <w:t xml:space="preserve">Proposal 12: If a new DCI bit is introduced, it can be used to make some or </w:t>
            </w:r>
            <w:proofErr w:type="gramStart"/>
            <w:r w:rsidRPr="00713387">
              <w:rPr>
                <w:rFonts w:ascii="Times New Roman" w:hAnsi="Times New Roman" w:cs="Times New Roman"/>
                <w:sz w:val="20"/>
                <w:lang w:val="en-US" w:eastAsia="zh-CN"/>
              </w:rPr>
              <w:t>all of</w:t>
            </w:r>
            <w:proofErr w:type="gramEnd"/>
            <w:r w:rsidRPr="00713387">
              <w:rPr>
                <w:rFonts w:ascii="Times New Roman" w:hAnsi="Times New Roman" w:cs="Times New Roman"/>
                <w:sz w:val="20"/>
                <w:lang w:val="en-US" w:eastAsia="zh-CN"/>
              </w:rPr>
              <w:t xml:space="preserve"> the Rel-13 invalid subframes valid for the duration of the scheduled PDSCH/PUSCH transmission.</w:t>
            </w:r>
          </w:p>
        </w:tc>
      </w:tr>
      <w:tr w:rsidR="00713387" w:rsidRPr="00713387" w14:paraId="60F99194" w14:textId="77777777" w:rsidTr="00DF2CB9">
        <w:tc>
          <w:tcPr>
            <w:tcW w:w="2830" w:type="dxa"/>
          </w:tcPr>
          <w:p w14:paraId="0347564A"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_Ref21690892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[3]</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Huawei, HiSilicon</w:t>
            </w:r>
          </w:p>
        </w:tc>
        <w:tc>
          <w:tcPr>
            <w:tcW w:w="6799" w:type="dxa"/>
          </w:tcPr>
          <w:p w14:paraId="62C5FFF7" w14:textId="77777777" w:rsidR="00713387" w:rsidRPr="00713387" w:rsidRDefault="00713387" w:rsidP="00DF2CB9">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4: Resource reservation mechanism is mainly used to avoid collision with SSB of NR.</w:t>
            </w:r>
          </w:p>
        </w:tc>
      </w:tr>
      <w:tr w:rsidR="00713387" w:rsidRPr="00713387" w14:paraId="22F0E8EA" w14:textId="77777777" w:rsidTr="00DF2CB9">
        <w:tc>
          <w:tcPr>
            <w:tcW w:w="2830" w:type="dxa"/>
          </w:tcPr>
          <w:p w14:paraId="6152CC5B"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_Ref21690941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[4]</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Nokia, Nokia Shanghai Bell</w:t>
            </w:r>
          </w:p>
        </w:tc>
        <w:tc>
          <w:tcPr>
            <w:tcW w:w="6799" w:type="dxa"/>
          </w:tcPr>
          <w:p w14:paraId="4076A6FC" w14:textId="77777777" w:rsidR="00713387" w:rsidRPr="00713387" w:rsidRDefault="00713387" w:rsidP="00DF2CB9">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4: The eNB can dynamically override the reserved resource via DCI under certain conditions.</w:t>
            </w:r>
          </w:p>
        </w:tc>
      </w:tr>
      <w:tr w:rsidR="00713387" w:rsidRPr="00713387" w14:paraId="6E60D3B0" w14:textId="77777777" w:rsidTr="00DF2CB9">
        <w:tc>
          <w:tcPr>
            <w:tcW w:w="2830" w:type="dxa"/>
          </w:tcPr>
          <w:p w14:paraId="0F242AE8"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_Ref21690946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[5]</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ZTE</w:t>
            </w:r>
          </w:p>
        </w:tc>
        <w:tc>
          <w:tcPr>
            <w:tcW w:w="6799" w:type="dxa"/>
          </w:tcPr>
          <w:p w14:paraId="798ECE36" w14:textId="77777777" w:rsidR="00713387" w:rsidRPr="00713387" w:rsidRDefault="00713387" w:rsidP="00DF2CB9">
            <w:pPr>
              <w:rPr>
                <w:rFonts w:ascii="Times New Roman" w:hAnsi="Times New Roman" w:cs="Times New Roman"/>
                <w:sz w:val="20"/>
                <w:szCs w:val="20"/>
                <w:lang w:val="en-US"/>
              </w:rPr>
            </w:pPr>
            <w:r w:rsidRPr="00713387">
              <w:rPr>
                <w:rFonts w:ascii="Times New Roman" w:hAnsi="Times New Roman" w:cs="Times New Roman"/>
                <w:sz w:val="20"/>
                <w:szCs w:val="20"/>
                <w:lang w:val="en-US"/>
              </w:rPr>
              <w:t>Proposal 5: For LTE-MTC resource reservation, dynamical activation or dynamic rewriting the semi-statically configured reserved resource is supported.</w:t>
            </w:r>
          </w:p>
          <w:p w14:paraId="7689D5D7" w14:textId="77777777" w:rsidR="00713387" w:rsidRPr="00713387" w:rsidRDefault="00713387" w:rsidP="00DF2CB9">
            <w:pPr>
              <w:rPr>
                <w:rFonts w:ascii="Times New Roman" w:hAnsi="Times New Roman" w:cs="Times New Roman"/>
                <w:sz w:val="20"/>
                <w:szCs w:val="20"/>
                <w:lang w:val="en-US"/>
              </w:rPr>
            </w:pPr>
            <w:r w:rsidRPr="00713387">
              <w:rPr>
                <w:rFonts w:ascii="Times New Roman" w:hAnsi="Times New Roman" w:cs="Times New Roman"/>
                <w:sz w:val="20"/>
                <w:szCs w:val="20"/>
                <w:lang w:val="en-US"/>
              </w:rPr>
              <w:t>Proposal 6: For LTE-MTC transmission, dynamic signaling in DCI can be used to indicate information of one-shot downlink resource reservation.</w:t>
            </w:r>
          </w:p>
          <w:p w14:paraId="20DD8C6C" w14:textId="77777777" w:rsidR="00713387" w:rsidRPr="00713387" w:rsidRDefault="00713387" w:rsidP="00DF2CB9">
            <w:pPr>
              <w:pStyle w:val="ListParagraph"/>
              <w:numPr>
                <w:ilvl w:val="0"/>
                <w:numId w:val="31"/>
              </w:numPr>
              <w:rPr>
                <w:rFonts w:ascii="Times New Roman" w:hAnsi="Times New Roman" w:cs="Times New Roman"/>
                <w:sz w:val="20"/>
                <w:szCs w:val="20"/>
                <w:lang w:val="en-US"/>
              </w:rPr>
            </w:pPr>
            <w:r w:rsidRPr="00713387">
              <w:rPr>
                <w:rFonts w:ascii="Times New Roman" w:hAnsi="Times New Roman" w:cs="Times New Roman"/>
                <w:sz w:val="20"/>
                <w:szCs w:val="20"/>
                <w:lang w:val="en-US"/>
              </w:rPr>
              <w:t>The LTE-MTC UE assumes the downlink LTE-MTC transmissions in the reserved resources are punctured.</w:t>
            </w:r>
          </w:p>
        </w:tc>
      </w:tr>
      <w:tr w:rsidR="00713387" w:rsidRPr="00713387" w14:paraId="668E9DAB" w14:textId="77777777" w:rsidTr="00DF2CB9">
        <w:tc>
          <w:tcPr>
            <w:tcW w:w="2830" w:type="dxa"/>
          </w:tcPr>
          <w:p w14:paraId="13A5F995"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_Ref21690949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[6]</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Qualcomm Incorporated</w:t>
            </w:r>
          </w:p>
        </w:tc>
        <w:tc>
          <w:tcPr>
            <w:tcW w:w="6799" w:type="dxa"/>
          </w:tcPr>
          <w:p w14:paraId="6164794E" w14:textId="77777777" w:rsidR="00713387" w:rsidRPr="00713387" w:rsidRDefault="00713387" w:rsidP="00DF2CB9">
            <w:pPr>
              <w:rPr>
                <w:rFonts w:ascii="Times New Roman" w:hAnsi="Times New Roman" w:cs="Times New Roman"/>
                <w:sz w:val="20"/>
                <w:szCs w:val="20"/>
              </w:rPr>
            </w:pPr>
            <w:r w:rsidRPr="00713387">
              <w:rPr>
                <w:rFonts w:ascii="Times New Roman" w:hAnsi="Times New Roman" w:cs="Times New Roman"/>
                <w:sz w:val="20"/>
                <w:szCs w:val="20"/>
              </w:rPr>
              <w:t xml:space="preserve">Proposal 3: For unicast transmission, dynamic DCI signalling can be used to indicate which reserved resources are used for the scheduled LTE-MTC transmission </w:t>
            </w:r>
          </w:p>
        </w:tc>
      </w:tr>
      <w:tr w:rsidR="00713387" w:rsidRPr="00713387" w14:paraId="56BB6201" w14:textId="77777777" w:rsidTr="00DF2CB9">
        <w:tc>
          <w:tcPr>
            <w:tcW w:w="2830" w:type="dxa"/>
          </w:tcPr>
          <w:p w14:paraId="08439E63"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_Ref21690953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[7]</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LG Electronics</w:t>
            </w:r>
          </w:p>
        </w:tc>
        <w:tc>
          <w:tcPr>
            <w:tcW w:w="6799" w:type="dxa"/>
          </w:tcPr>
          <w:p w14:paraId="251FF9B5" w14:textId="77777777" w:rsidR="00713387" w:rsidRPr="00713387" w:rsidRDefault="00713387" w:rsidP="00DF2CB9">
            <w:pPr>
              <w:rPr>
                <w:rFonts w:ascii="Times New Roman" w:hAnsi="Times New Roman" w:cs="Times New Roman"/>
                <w:sz w:val="20"/>
                <w:szCs w:val="20"/>
              </w:rPr>
            </w:pPr>
            <w:r w:rsidRPr="00713387">
              <w:rPr>
                <w:rFonts w:ascii="Times New Roman" w:hAnsi="Times New Roman" w:cs="Times New Roman"/>
                <w:sz w:val="20"/>
                <w:szCs w:val="20"/>
              </w:rPr>
              <w:t>Proposal 5: As we cannot always assume that NR scheduling information is available to the LTE MTC scheduler, dynamic resource reservation via DCI is not supported in Rel-16.</w:t>
            </w:r>
          </w:p>
        </w:tc>
      </w:tr>
    </w:tbl>
    <w:p w14:paraId="6DABA49D" w14:textId="77777777" w:rsidR="00713387" w:rsidRPr="00713387" w:rsidRDefault="00713387" w:rsidP="00713387">
      <w:pPr>
        <w:pStyle w:val="Reference"/>
        <w:numPr>
          <w:ilvl w:val="0"/>
          <w:numId w:val="0"/>
        </w:numPr>
        <w:ind w:left="567" w:hanging="567"/>
        <w:rPr>
          <w:rFonts w:ascii="Arial" w:hAnsi="Arial" w:cs="Arial"/>
          <w:sz w:val="20"/>
          <w:lang w:val="en-US"/>
        </w:rPr>
      </w:pPr>
    </w:p>
    <w:p w14:paraId="6CD71C95" w14:textId="77777777" w:rsidR="00713387" w:rsidRPr="00713387" w:rsidRDefault="00713387" w:rsidP="00713387">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713387">
        <w:rPr>
          <w:rFonts w:ascii="Arial" w:hAnsi="Arial" w:cs="Arial"/>
          <w:sz w:val="20"/>
          <w:szCs w:val="20"/>
          <w:lang w:val="en-US"/>
        </w:rPr>
        <w:t>DCI can override or modify the higher-layer configuration.</w:t>
      </w:r>
    </w:p>
    <w:p w14:paraId="13708295" w14:textId="77777777" w:rsidR="00713387" w:rsidRPr="00713387" w:rsidRDefault="00713387" w:rsidP="00713387">
      <w:pPr>
        <w:pStyle w:val="Reference"/>
        <w:numPr>
          <w:ilvl w:val="0"/>
          <w:numId w:val="0"/>
        </w:numPr>
        <w:ind w:left="567" w:hanging="567"/>
        <w:rPr>
          <w:rFonts w:ascii="Arial" w:hAnsi="Arial" w:cs="Arial"/>
          <w:sz w:val="20"/>
          <w:lang w:val="en-US"/>
        </w:rPr>
      </w:pPr>
    </w:p>
    <w:p w14:paraId="1315C0F4" w14:textId="77777777" w:rsidR="00713387" w:rsidRPr="00713387" w:rsidRDefault="00713387" w:rsidP="00713387">
      <w:pPr>
        <w:pStyle w:val="Reference"/>
        <w:numPr>
          <w:ilvl w:val="0"/>
          <w:numId w:val="0"/>
        </w:numPr>
        <w:ind w:left="567" w:hanging="567"/>
        <w:rPr>
          <w:rFonts w:ascii="Arial" w:hAnsi="Arial" w:cs="Arial"/>
          <w:sz w:val="20"/>
          <w:lang w:val="en-US"/>
        </w:rPr>
      </w:pPr>
      <w:r w:rsidRPr="00713387">
        <w:rPr>
          <w:rFonts w:ascii="Arial" w:hAnsi="Arial" w:cs="Arial"/>
          <w:sz w:val="20"/>
          <w:lang w:val="en-US"/>
        </w:rPr>
        <w:t>The table below summarizes proposals related to handling of DMRS.</w:t>
      </w:r>
    </w:p>
    <w:tbl>
      <w:tblPr>
        <w:tblStyle w:val="TableGrid"/>
        <w:tblW w:w="0" w:type="auto"/>
        <w:tblLook w:val="04A0" w:firstRow="1" w:lastRow="0" w:firstColumn="1" w:lastColumn="0" w:noHBand="0" w:noVBand="1"/>
      </w:tblPr>
      <w:tblGrid>
        <w:gridCol w:w="2830"/>
        <w:gridCol w:w="6799"/>
      </w:tblGrid>
      <w:tr w:rsidR="00713387" w:rsidRPr="00713387" w14:paraId="12D6E576" w14:textId="77777777" w:rsidTr="00DF2CB9">
        <w:tc>
          <w:tcPr>
            <w:tcW w:w="2830" w:type="dxa"/>
          </w:tcPr>
          <w:p w14:paraId="44980611"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_Ref21690879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[2]</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Ericsson</w:t>
            </w:r>
          </w:p>
        </w:tc>
        <w:tc>
          <w:tcPr>
            <w:tcW w:w="6799" w:type="dxa"/>
          </w:tcPr>
          <w:p w14:paraId="172D8136" w14:textId="77777777" w:rsidR="00713387" w:rsidRPr="00713387" w:rsidRDefault="00713387" w:rsidP="00DF2CB9">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9: LTE-M resource reservation is not applied to symbols that carry DMRS.</w:t>
            </w:r>
          </w:p>
          <w:p w14:paraId="47C2AF96" w14:textId="77777777" w:rsidR="00713387" w:rsidRPr="00713387" w:rsidRDefault="00713387" w:rsidP="00DF2CB9">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13: Symbols carrying LTE-M DMRS and CRS are not reserved.</w:t>
            </w:r>
          </w:p>
        </w:tc>
      </w:tr>
      <w:tr w:rsidR="00713387" w:rsidRPr="00713387" w14:paraId="6DB55330" w14:textId="77777777" w:rsidTr="00DF2CB9">
        <w:tc>
          <w:tcPr>
            <w:tcW w:w="2830" w:type="dxa"/>
          </w:tcPr>
          <w:p w14:paraId="592D9CC8"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_Ref21690941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[4]</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Nokia, Nokia Shanghai Bell</w:t>
            </w:r>
          </w:p>
        </w:tc>
        <w:tc>
          <w:tcPr>
            <w:tcW w:w="6799" w:type="dxa"/>
          </w:tcPr>
          <w:p w14:paraId="45E49858" w14:textId="77777777" w:rsidR="00713387" w:rsidRPr="00713387" w:rsidRDefault="00713387" w:rsidP="00DF2CB9">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6: Rel-16 UE cannot expect DMRS to be transmitted in reserved resource.</w:t>
            </w:r>
          </w:p>
        </w:tc>
      </w:tr>
      <w:tr w:rsidR="00713387" w:rsidRPr="00713387" w14:paraId="04ECAB6E" w14:textId="77777777" w:rsidTr="00DF2CB9">
        <w:tc>
          <w:tcPr>
            <w:tcW w:w="2830" w:type="dxa"/>
          </w:tcPr>
          <w:p w14:paraId="604555DE"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_Ref21690949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[6]</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Qualcomm Incorporated</w:t>
            </w:r>
          </w:p>
        </w:tc>
        <w:tc>
          <w:tcPr>
            <w:tcW w:w="6799" w:type="dxa"/>
          </w:tcPr>
          <w:p w14:paraId="5EFC022F" w14:textId="77777777" w:rsidR="00713387" w:rsidRPr="00713387" w:rsidRDefault="00713387" w:rsidP="00DF2CB9">
            <w:pPr>
              <w:rPr>
                <w:rFonts w:ascii="Times New Roman" w:hAnsi="Times New Roman" w:cs="Times New Roman"/>
                <w:sz w:val="20"/>
                <w:szCs w:val="20"/>
              </w:rPr>
            </w:pPr>
            <w:r w:rsidRPr="00713387">
              <w:rPr>
                <w:rFonts w:ascii="Times New Roman" w:hAnsi="Times New Roman" w:cs="Times New Roman"/>
                <w:sz w:val="20"/>
                <w:szCs w:val="20"/>
              </w:rPr>
              <w:t>Proposal 1: For finer granularity resource reservation for LTE-MTC in Rel-16, UE is not expected to receive DMRS in a subframe when reserved resources comprise any DMRS symbol</w:t>
            </w:r>
          </w:p>
        </w:tc>
      </w:tr>
    </w:tbl>
    <w:p w14:paraId="06795316" w14:textId="77777777" w:rsidR="00713387" w:rsidRPr="00713387" w:rsidRDefault="00713387" w:rsidP="00713387">
      <w:pPr>
        <w:pStyle w:val="Reference"/>
        <w:numPr>
          <w:ilvl w:val="0"/>
          <w:numId w:val="0"/>
        </w:numPr>
        <w:ind w:left="567" w:hanging="567"/>
        <w:rPr>
          <w:rFonts w:ascii="Arial" w:hAnsi="Arial" w:cs="Arial"/>
          <w:sz w:val="20"/>
          <w:lang w:val="en-US"/>
        </w:rPr>
      </w:pPr>
    </w:p>
    <w:p w14:paraId="77752857" w14:textId="77777777" w:rsidR="00713387" w:rsidRPr="00713387" w:rsidRDefault="00713387" w:rsidP="00713387">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713387">
        <w:rPr>
          <w:rFonts w:ascii="Arial" w:hAnsi="Arial" w:cs="Arial"/>
          <w:sz w:val="20"/>
          <w:szCs w:val="20"/>
          <w:lang w:val="en-US"/>
        </w:rPr>
        <w:t>Symbols carrying LTE-MTC DMRS are not reserved.</w:t>
      </w:r>
    </w:p>
    <w:p w14:paraId="64997808" w14:textId="77777777" w:rsidR="00713387" w:rsidRDefault="00713387" w:rsidP="00713387">
      <w:pPr>
        <w:pStyle w:val="Reference"/>
        <w:numPr>
          <w:ilvl w:val="0"/>
          <w:numId w:val="0"/>
        </w:numPr>
        <w:ind w:left="567" w:hanging="567"/>
        <w:rPr>
          <w:rFonts w:ascii="Arial" w:hAnsi="Arial" w:cs="Arial"/>
          <w:sz w:val="20"/>
          <w:lang w:val="en-US"/>
        </w:rPr>
      </w:pPr>
    </w:p>
    <w:p w14:paraId="26A487E5" w14:textId="77777777" w:rsidR="00713387" w:rsidRPr="00713387" w:rsidRDefault="00713387" w:rsidP="00713387">
      <w:pPr>
        <w:pStyle w:val="Reference"/>
        <w:numPr>
          <w:ilvl w:val="0"/>
          <w:numId w:val="0"/>
        </w:numPr>
        <w:ind w:left="567" w:hanging="567"/>
        <w:rPr>
          <w:rFonts w:ascii="Arial" w:hAnsi="Arial" w:cs="Arial"/>
          <w:sz w:val="20"/>
          <w:lang w:val="en-US"/>
        </w:rPr>
      </w:pPr>
      <w:r w:rsidRPr="00713387">
        <w:rPr>
          <w:rFonts w:ascii="Arial" w:hAnsi="Arial" w:cs="Arial"/>
          <w:sz w:val="20"/>
          <w:lang w:val="en-US"/>
        </w:rPr>
        <w:t>The table below summarizes proposals related to the dropping mechanism.</w:t>
      </w:r>
    </w:p>
    <w:tbl>
      <w:tblPr>
        <w:tblStyle w:val="TableGrid"/>
        <w:tblW w:w="0" w:type="auto"/>
        <w:tblLook w:val="04A0" w:firstRow="1" w:lastRow="0" w:firstColumn="1" w:lastColumn="0" w:noHBand="0" w:noVBand="1"/>
      </w:tblPr>
      <w:tblGrid>
        <w:gridCol w:w="2830"/>
        <w:gridCol w:w="6799"/>
      </w:tblGrid>
      <w:tr w:rsidR="00713387" w:rsidRPr="00713387" w14:paraId="408232BB" w14:textId="77777777" w:rsidTr="00DF2CB9">
        <w:tc>
          <w:tcPr>
            <w:tcW w:w="2830" w:type="dxa"/>
          </w:tcPr>
          <w:p w14:paraId="10FE1152" w14:textId="77777777" w:rsidR="00713387" w:rsidRPr="00713387" w:rsidRDefault="00713387"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_Ref21690941 \r \h </w:instrText>
            </w:r>
            <w:r>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[4]</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Nokia, Nokia Shanghai Bell</w:t>
            </w:r>
          </w:p>
        </w:tc>
        <w:tc>
          <w:tcPr>
            <w:tcW w:w="6799" w:type="dxa"/>
          </w:tcPr>
          <w:p w14:paraId="7DEB21F2" w14:textId="77777777" w:rsidR="00713387" w:rsidRPr="00713387" w:rsidRDefault="00713387" w:rsidP="00DF2CB9">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5: For slot-level and symbol(s)-level reserved resource, eMTC transmission is punctured whenever it is dropped.</w:t>
            </w:r>
          </w:p>
        </w:tc>
      </w:tr>
    </w:tbl>
    <w:p w14:paraId="5DE10679" w14:textId="77777777" w:rsidR="00713387" w:rsidRPr="00713387" w:rsidRDefault="00713387" w:rsidP="00713387">
      <w:pPr>
        <w:pStyle w:val="Reference"/>
        <w:numPr>
          <w:ilvl w:val="0"/>
          <w:numId w:val="0"/>
        </w:numPr>
        <w:ind w:left="567" w:hanging="567"/>
        <w:rPr>
          <w:rFonts w:ascii="Arial" w:hAnsi="Arial" w:cs="Arial"/>
          <w:sz w:val="20"/>
          <w:lang w:val="en-US"/>
        </w:rPr>
      </w:pPr>
    </w:p>
    <w:p w14:paraId="1CC2484B" w14:textId="77777777" w:rsidR="00713387" w:rsidRPr="00713387" w:rsidRDefault="00713387" w:rsidP="00713387">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713387">
        <w:rPr>
          <w:rFonts w:ascii="Arial" w:hAnsi="Arial" w:cs="Arial"/>
          <w:sz w:val="20"/>
          <w:szCs w:val="20"/>
          <w:lang w:val="en-US"/>
        </w:rPr>
        <w:t>Dropping is realized through puncturing (not rate-matching).</w:t>
      </w:r>
    </w:p>
    <w:p w14:paraId="645C3425" w14:textId="77777777" w:rsidR="00713387" w:rsidRPr="00713387" w:rsidRDefault="00713387" w:rsidP="00713387">
      <w:pPr>
        <w:pStyle w:val="Reference"/>
        <w:numPr>
          <w:ilvl w:val="0"/>
          <w:numId w:val="0"/>
        </w:numPr>
        <w:ind w:left="567" w:hanging="567"/>
        <w:rPr>
          <w:rFonts w:ascii="Arial" w:hAnsi="Arial" w:cs="Arial"/>
          <w:sz w:val="20"/>
          <w:lang w:val="en-US"/>
        </w:rPr>
      </w:pPr>
    </w:p>
    <w:p w14:paraId="300CE932" w14:textId="7B371E4F" w:rsidR="007F4FA6" w:rsidRPr="00713387" w:rsidRDefault="007F4FA6" w:rsidP="005D723C">
      <w:pPr>
        <w:pStyle w:val="Reference"/>
        <w:numPr>
          <w:ilvl w:val="0"/>
          <w:numId w:val="0"/>
        </w:numPr>
        <w:ind w:left="567" w:hanging="567"/>
        <w:rPr>
          <w:rFonts w:ascii="Arial" w:hAnsi="Arial" w:cs="Arial"/>
          <w:sz w:val="20"/>
          <w:lang w:val="en-US"/>
        </w:rPr>
      </w:pPr>
      <w:r w:rsidRPr="00713387">
        <w:rPr>
          <w:rFonts w:ascii="Arial" w:hAnsi="Arial" w:cs="Arial"/>
          <w:sz w:val="20"/>
          <w:lang w:val="en-US"/>
        </w:rPr>
        <w:t xml:space="preserve">The table below summarizes proposals related to </w:t>
      </w:r>
      <w:r w:rsidR="00CF51A4" w:rsidRPr="00713387">
        <w:rPr>
          <w:rFonts w:ascii="Arial" w:hAnsi="Arial" w:cs="Arial"/>
          <w:sz w:val="20"/>
          <w:lang w:val="en-US"/>
        </w:rPr>
        <w:t>DL frequency-domain resource reservation</w:t>
      </w:r>
      <w:r w:rsidRPr="00713387">
        <w:rPr>
          <w:rFonts w:ascii="Arial" w:hAnsi="Arial" w:cs="Arial"/>
          <w:sz w:val="20"/>
          <w:lang w:val="en-US"/>
        </w:rPr>
        <w:t>.</w:t>
      </w:r>
    </w:p>
    <w:tbl>
      <w:tblPr>
        <w:tblStyle w:val="TableGrid"/>
        <w:tblW w:w="0" w:type="auto"/>
        <w:tblLook w:val="04A0" w:firstRow="1" w:lastRow="0" w:firstColumn="1" w:lastColumn="0" w:noHBand="0" w:noVBand="1"/>
      </w:tblPr>
      <w:tblGrid>
        <w:gridCol w:w="2830"/>
        <w:gridCol w:w="6799"/>
      </w:tblGrid>
      <w:tr w:rsidR="007F4FA6" w:rsidRPr="00713387" w14:paraId="629F495A" w14:textId="77777777" w:rsidTr="005B35B5">
        <w:tc>
          <w:tcPr>
            <w:tcW w:w="2830" w:type="dxa"/>
          </w:tcPr>
          <w:p w14:paraId="1F8E39A8" w14:textId="58DD1A66" w:rsidR="007F4FA6" w:rsidRPr="00713387" w:rsidRDefault="007F4FA6" w:rsidP="005B35B5">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_Ref21690879 \r \h </w:instrText>
            </w:r>
            <w:r w:rsidR="00713387">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[2]</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Ericsson</w:t>
            </w:r>
          </w:p>
        </w:tc>
        <w:tc>
          <w:tcPr>
            <w:tcW w:w="6799" w:type="dxa"/>
          </w:tcPr>
          <w:p w14:paraId="3E0861DE" w14:textId="3C61CCEA" w:rsidR="007F4FA6" w:rsidRPr="00713387" w:rsidRDefault="007F4FA6" w:rsidP="005B35B5">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10: Frequency-domain LTE-M resource reservation in DL is not supported.</w:t>
            </w:r>
          </w:p>
        </w:tc>
      </w:tr>
      <w:tr w:rsidR="007F4FA6" w:rsidRPr="00713387" w14:paraId="2E528E88" w14:textId="77777777" w:rsidTr="005B35B5">
        <w:tc>
          <w:tcPr>
            <w:tcW w:w="2830" w:type="dxa"/>
          </w:tcPr>
          <w:p w14:paraId="6451B373" w14:textId="354AA262" w:rsidR="007F4FA6" w:rsidRPr="00713387" w:rsidRDefault="007F4FA6" w:rsidP="005B35B5">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_Ref21690941 \r \h </w:instrText>
            </w:r>
            <w:r w:rsidR="00713387">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[4]</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Nokia, Nokia Shanghai Bell</w:t>
            </w:r>
          </w:p>
        </w:tc>
        <w:tc>
          <w:tcPr>
            <w:tcW w:w="6799" w:type="dxa"/>
          </w:tcPr>
          <w:p w14:paraId="120BE214" w14:textId="77777777" w:rsidR="007F4FA6" w:rsidRPr="00713387" w:rsidRDefault="007F4FA6" w:rsidP="005B35B5">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2: In frequency domain, eMTC reserved resource can be on PRB(s) level.</w:t>
            </w:r>
          </w:p>
          <w:p w14:paraId="3288347E" w14:textId="660A6348" w:rsidR="007F4FA6" w:rsidRPr="00713387" w:rsidRDefault="007F4FA6" w:rsidP="005B35B5">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3: eMTC reserved resource configuration is given by PRB(s)-level bitmap in the frequency domain and subframe-level, slot-level, or symbol(s)-level bitmap in the time-domain.</w:t>
            </w:r>
          </w:p>
        </w:tc>
      </w:tr>
      <w:tr w:rsidR="007F4FA6" w:rsidRPr="00713387" w14:paraId="3544777C" w14:textId="77777777" w:rsidTr="005B35B5">
        <w:tc>
          <w:tcPr>
            <w:tcW w:w="2830" w:type="dxa"/>
          </w:tcPr>
          <w:p w14:paraId="3032B932" w14:textId="0B444F97" w:rsidR="007F4FA6" w:rsidRPr="00713387" w:rsidRDefault="007F4FA6" w:rsidP="005B35B5">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_Ref21690946 \r \h </w:instrText>
            </w:r>
            <w:r w:rsidR="00713387">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[5]</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ZTE</w:t>
            </w:r>
          </w:p>
        </w:tc>
        <w:tc>
          <w:tcPr>
            <w:tcW w:w="6799" w:type="dxa"/>
          </w:tcPr>
          <w:p w14:paraId="42E0F8BE" w14:textId="77777777" w:rsidR="007F4FA6" w:rsidRPr="00713387" w:rsidRDefault="007F4FA6" w:rsidP="005B35B5">
            <w:pPr>
              <w:rPr>
                <w:rFonts w:ascii="Times New Roman" w:hAnsi="Times New Roman" w:cs="Times New Roman"/>
                <w:sz w:val="20"/>
                <w:szCs w:val="20"/>
                <w:lang w:val="en-US"/>
              </w:rPr>
            </w:pPr>
            <w:r w:rsidRPr="00713387">
              <w:rPr>
                <w:rFonts w:ascii="Times New Roman" w:hAnsi="Times New Roman" w:cs="Times New Roman"/>
                <w:sz w:val="20"/>
                <w:szCs w:val="20"/>
                <w:lang w:val="en-US"/>
              </w:rPr>
              <w:t>Proposal 4: LTE-MTC DL frequency-domain resource reservation is supported.</w:t>
            </w:r>
          </w:p>
          <w:p w14:paraId="4BB36EAF" w14:textId="77777777" w:rsidR="007F4FA6" w:rsidRPr="00713387" w:rsidRDefault="007F4FA6" w:rsidP="005B35B5">
            <w:pPr>
              <w:pStyle w:val="ListParagraph"/>
              <w:numPr>
                <w:ilvl w:val="0"/>
                <w:numId w:val="30"/>
              </w:numPr>
              <w:rPr>
                <w:rFonts w:ascii="Times New Roman" w:hAnsi="Times New Roman" w:cs="Times New Roman"/>
                <w:sz w:val="20"/>
                <w:szCs w:val="20"/>
                <w:lang w:val="en-US"/>
              </w:rPr>
            </w:pPr>
            <w:r w:rsidRPr="00713387">
              <w:rPr>
                <w:rFonts w:ascii="Times New Roman" w:hAnsi="Times New Roman" w:cs="Times New Roman"/>
                <w:sz w:val="20"/>
                <w:szCs w:val="20"/>
                <w:lang w:val="en-US"/>
              </w:rPr>
              <w:t>Partial LTE-MTC PRBs or all LTE-MTC PRBs can be reserved according to configuration.</w:t>
            </w:r>
          </w:p>
          <w:p w14:paraId="7D1F4FC7" w14:textId="163D2D78" w:rsidR="007F4FA6" w:rsidRPr="00713387" w:rsidRDefault="007F4FA6" w:rsidP="00CF51A4">
            <w:pPr>
              <w:pStyle w:val="ListParagraph"/>
              <w:numPr>
                <w:ilvl w:val="0"/>
                <w:numId w:val="30"/>
              </w:numPr>
              <w:rPr>
                <w:rFonts w:ascii="Times New Roman" w:hAnsi="Times New Roman" w:cs="Times New Roman"/>
                <w:sz w:val="20"/>
                <w:szCs w:val="20"/>
                <w:lang w:val="en-US"/>
              </w:rPr>
            </w:pPr>
            <w:r w:rsidRPr="00713387">
              <w:rPr>
                <w:rFonts w:ascii="Times New Roman" w:hAnsi="Times New Roman" w:cs="Times New Roman"/>
                <w:sz w:val="20"/>
                <w:szCs w:val="20"/>
                <w:lang w:val="en-US"/>
              </w:rPr>
              <w:t>The reserved LTE-MTC RBs are continuous.</w:t>
            </w:r>
          </w:p>
        </w:tc>
      </w:tr>
    </w:tbl>
    <w:p w14:paraId="368A07EF" w14:textId="7159C6BE" w:rsidR="007F4FA6" w:rsidRPr="00713387" w:rsidRDefault="007F4FA6" w:rsidP="007F4FA6">
      <w:pPr>
        <w:pStyle w:val="Reference"/>
        <w:numPr>
          <w:ilvl w:val="0"/>
          <w:numId w:val="0"/>
        </w:numPr>
        <w:ind w:left="567" w:hanging="567"/>
        <w:rPr>
          <w:rFonts w:ascii="Arial" w:hAnsi="Arial" w:cs="Arial"/>
          <w:sz w:val="20"/>
          <w:lang w:val="en-US"/>
        </w:rPr>
      </w:pPr>
    </w:p>
    <w:p w14:paraId="20907BC9" w14:textId="77777777" w:rsidR="00713387" w:rsidRPr="00713387" w:rsidRDefault="00713387" w:rsidP="00713387">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713387">
        <w:rPr>
          <w:rFonts w:ascii="Arial" w:hAnsi="Arial" w:cs="Arial"/>
          <w:sz w:val="20"/>
          <w:szCs w:val="20"/>
          <w:lang w:val="en-US"/>
        </w:rPr>
        <w:t>Discuss whether to support LTE-MTC DL frequency-domain resource reservation or not.</w:t>
      </w:r>
    </w:p>
    <w:p w14:paraId="1C2A5F23" w14:textId="77777777" w:rsidR="00713387" w:rsidRPr="00713387" w:rsidRDefault="00713387" w:rsidP="007F4FA6">
      <w:pPr>
        <w:pStyle w:val="Reference"/>
        <w:numPr>
          <w:ilvl w:val="0"/>
          <w:numId w:val="0"/>
        </w:numPr>
        <w:ind w:left="567" w:hanging="567"/>
        <w:rPr>
          <w:rFonts w:ascii="Arial" w:hAnsi="Arial" w:cs="Arial"/>
          <w:sz w:val="20"/>
          <w:lang w:val="en-US"/>
        </w:rPr>
      </w:pPr>
    </w:p>
    <w:p w14:paraId="7659ECAE" w14:textId="577A661D" w:rsidR="00CF51A4" w:rsidRPr="00713387" w:rsidRDefault="00CF51A4" w:rsidP="00CF51A4">
      <w:pPr>
        <w:pStyle w:val="Reference"/>
        <w:numPr>
          <w:ilvl w:val="0"/>
          <w:numId w:val="0"/>
        </w:numPr>
        <w:ind w:left="567" w:hanging="567"/>
        <w:rPr>
          <w:rFonts w:ascii="Arial" w:hAnsi="Arial" w:cs="Arial"/>
          <w:sz w:val="20"/>
          <w:lang w:val="en-US"/>
        </w:rPr>
      </w:pPr>
      <w:r w:rsidRPr="00713387">
        <w:rPr>
          <w:rFonts w:ascii="Arial" w:hAnsi="Arial" w:cs="Arial"/>
          <w:sz w:val="20"/>
          <w:lang w:val="en-US"/>
        </w:rPr>
        <w:t xml:space="preserve">The table below summarizes proposals related to </w:t>
      </w:r>
      <w:r w:rsidR="009D6575" w:rsidRPr="00713387">
        <w:rPr>
          <w:rFonts w:ascii="Arial" w:hAnsi="Arial" w:cs="Arial"/>
          <w:sz w:val="20"/>
          <w:lang w:val="en-US"/>
        </w:rPr>
        <w:t>UL resource reservation</w:t>
      </w:r>
      <w:r w:rsidRPr="00713387">
        <w:rPr>
          <w:rFonts w:ascii="Arial" w:hAnsi="Arial" w:cs="Arial"/>
          <w:sz w:val="20"/>
          <w:lang w:val="en-US"/>
        </w:rPr>
        <w:t>.</w:t>
      </w:r>
    </w:p>
    <w:tbl>
      <w:tblPr>
        <w:tblStyle w:val="TableGrid"/>
        <w:tblW w:w="0" w:type="auto"/>
        <w:tblLook w:val="04A0" w:firstRow="1" w:lastRow="0" w:firstColumn="1" w:lastColumn="0" w:noHBand="0" w:noVBand="1"/>
      </w:tblPr>
      <w:tblGrid>
        <w:gridCol w:w="2830"/>
        <w:gridCol w:w="6799"/>
      </w:tblGrid>
      <w:tr w:rsidR="00CF51A4" w:rsidRPr="00713387" w14:paraId="186F42C7" w14:textId="77777777" w:rsidTr="00DF2CB9">
        <w:tc>
          <w:tcPr>
            <w:tcW w:w="2830" w:type="dxa"/>
          </w:tcPr>
          <w:p w14:paraId="72D9C705" w14:textId="56ADF9FE" w:rsidR="00CF51A4" w:rsidRPr="00713387" w:rsidRDefault="00CF51A4"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_Ref21690879 \r \h </w:instrText>
            </w:r>
            <w:r w:rsidR="00713387">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[2]</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Ericsson</w:t>
            </w:r>
          </w:p>
        </w:tc>
        <w:tc>
          <w:tcPr>
            <w:tcW w:w="6799" w:type="dxa"/>
          </w:tcPr>
          <w:p w14:paraId="0BA37294" w14:textId="26BAF731" w:rsidR="00CF51A4" w:rsidRPr="00713387" w:rsidRDefault="00CF51A4" w:rsidP="00DF2CB9">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11: No finer resource reservation granularity than the existing subframe-level is needed in uplink.</w:t>
            </w:r>
          </w:p>
        </w:tc>
      </w:tr>
      <w:tr w:rsidR="00CF51A4" w:rsidRPr="00713387" w14:paraId="3A8CBCE6" w14:textId="77777777" w:rsidTr="00DF2CB9">
        <w:tc>
          <w:tcPr>
            <w:tcW w:w="2830" w:type="dxa"/>
          </w:tcPr>
          <w:p w14:paraId="7F6189CE" w14:textId="6B5C7092" w:rsidR="00CF51A4" w:rsidRPr="00713387" w:rsidRDefault="00CF51A4"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_Ref21690892 \r \h </w:instrText>
            </w:r>
            <w:r w:rsidR="00713387">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[3]</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Huawei, HiSilicon</w:t>
            </w:r>
          </w:p>
        </w:tc>
        <w:tc>
          <w:tcPr>
            <w:tcW w:w="6799" w:type="dxa"/>
          </w:tcPr>
          <w:p w14:paraId="5BF0A8E8" w14:textId="77777777" w:rsidR="00CF51A4" w:rsidRPr="00713387" w:rsidRDefault="00CF51A4" w:rsidP="00DF2CB9">
            <w:pPr>
              <w:rPr>
                <w:rFonts w:ascii="Times New Roman" w:hAnsi="Times New Roman" w:cs="Times New Roman"/>
                <w:sz w:val="20"/>
                <w:lang w:val="en-US" w:eastAsia="zh-CN"/>
              </w:rPr>
            </w:pPr>
            <w:r w:rsidRPr="00713387">
              <w:rPr>
                <w:rFonts w:ascii="Times New Roman" w:hAnsi="Times New Roman" w:cs="Times New Roman"/>
                <w:sz w:val="20"/>
                <w:lang w:val="en-US" w:eastAsia="zh-CN"/>
              </w:rPr>
              <w:t>Proposal 4: Resource reservation mechanism is mainly used to avoid collision with SSB of NR.</w:t>
            </w:r>
          </w:p>
        </w:tc>
      </w:tr>
      <w:tr w:rsidR="00CF51A4" w:rsidRPr="00713387" w14:paraId="22508EE9" w14:textId="77777777" w:rsidTr="00DF2CB9">
        <w:tc>
          <w:tcPr>
            <w:tcW w:w="2830" w:type="dxa"/>
          </w:tcPr>
          <w:p w14:paraId="7E05AA55" w14:textId="54576F13" w:rsidR="00CF51A4" w:rsidRPr="00713387" w:rsidRDefault="00CF51A4" w:rsidP="00DF2CB9">
            <w:pPr>
              <w:rPr>
                <w:rFonts w:ascii="Times New Roman" w:hAnsi="Times New Roman" w:cs="Times New Roman"/>
                <w:sz w:val="20"/>
                <w:lang w:eastAsia="zh-CN"/>
              </w:rPr>
            </w:pPr>
            <w:r w:rsidRPr="00713387">
              <w:rPr>
                <w:rFonts w:ascii="Times New Roman" w:hAnsi="Times New Roman" w:cs="Times New Roman"/>
                <w:sz w:val="20"/>
                <w:lang w:eastAsia="zh-CN"/>
              </w:rPr>
              <w:lastRenderedPageBreak/>
              <w:fldChar w:fldCharType="begin"/>
            </w:r>
            <w:r w:rsidRPr="00713387">
              <w:rPr>
                <w:rFonts w:ascii="Times New Roman" w:hAnsi="Times New Roman" w:cs="Times New Roman"/>
                <w:sz w:val="20"/>
                <w:lang w:eastAsia="zh-CN"/>
              </w:rPr>
              <w:instrText xml:space="preserve"> REF _Ref21690946 \r \h </w:instrText>
            </w:r>
            <w:r w:rsidR="00713387">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[5]</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ZTE</w:t>
            </w:r>
          </w:p>
        </w:tc>
        <w:tc>
          <w:tcPr>
            <w:tcW w:w="6799" w:type="dxa"/>
          </w:tcPr>
          <w:p w14:paraId="6E057DF9" w14:textId="77777777" w:rsidR="00CF51A4" w:rsidRPr="00713387" w:rsidRDefault="00CF51A4" w:rsidP="00DF2CB9">
            <w:pPr>
              <w:rPr>
                <w:rFonts w:ascii="Times New Roman" w:hAnsi="Times New Roman" w:cs="Times New Roman"/>
                <w:sz w:val="20"/>
                <w:szCs w:val="20"/>
                <w:lang w:val="en-US"/>
              </w:rPr>
            </w:pPr>
            <w:r w:rsidRPr="00713387">
              <w:rPr>
                <w:rFonts w:ascii="Times New Roman" w:hAnsi="Times New Roman" w:cs="Times New Roman"/>
                <w:sz w:val="20"/>
                <w:szCs w:val="20"/>
                <w:lang w:val="en-US"/>
              </w:rPr>
              <w:t>Proposal 7: For LTE-MTC transmission, a dynamic dedicated control information is used to indicate information of one-shot uplink resource reservation.</w:t>
            </w:r>
          </w:p>
          <w:p w14:paraId="63BE9B16" w14:textId="77777777" w:rsidR="00CF51A4" w:rsidRPr="00713387" w:rsidRDefault="00CF51A4" w:rsidP="00DF2CB9">
            <w:pPr>
              <w:pStyle w:val="ListParagraph"/>
              <w:numPr>
                <w:ilvl w:val="0"/>
                <w:numId w:val="31"/>
              </w:numPr>
              <w:rPr>
                <w:rFonts w:ascii="Times New Roman" w:hAnsi="Times New Roman" w:cs="Times New Roman"/>
                <w:sz w:val="20"/>
                <w:szCs w:val="20"/>
                <w:lang w:val="en-US"/>
              </w:rPr>
            </w:pPr>
            <w:r w:rsidRPr="00713387">
              <w:rPr>
                <w:rFonts w:ascii="Times New Roman" w:hAnsi="Times New Roman" w:cs="Times New Roman"/>
                <w:sz w:val="20"/>
                <w:szCs w:val="20"/>
                <w:lang w:val="en-US"/>
              </w:rPr>
              <w:t>The uplink LTE-MTC transmission in the reserved resources can be punctured/muted or postponed.</w:t>
            </w:r>
          </w:p>
        </w:tc>
      </w:tr>
      <w:tr w:rsidR="00CF51A4" w:rsidRPr="00713387" w14:paraId="6FFFD052" w14:textId="77777777" w:rsidTr="00DF2CB9">
        <w:tc>
          <w:tcPr>
            <w:tcW w:w="2830" w:type="dxa"/>
          </w:tcPr>
          <w:p w14:paraId="0787340D" w14:textId="394D043E" w:rsidR="00CF51A4" w:rsidRPr="00713387" w:rsidRDefault="00CF51A4"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_Ref21690949 \r \h </w:instrText>
            </w:r>
            <w:r w:rsidR="00713387">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[6]</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Qualcomm Incorporated</w:t>
            </w:r>
          </w:p>
        </w:tc>
        <w:tc>
          <w:tcPr>
            <w:tcW w:w="6799" w:type="dxa"/>
          </w:tcPr>
          <w:p w14:paraId="0F66A620" w14:textId="0010DC48" w:rsidR="00CF51A4" w:rsidRPr="00713387" w:rsidRDefault="00CF51A4" w:rsidP="009D6575">
            <w:pPr>
              <w:rPr>
                <w:rFonts w:ascii="Times New Roman" w:hAnsi="Times New Roman" w:cs="Times New Roman"/>
                <w:sz w:val="20"/>
                <w:szCs w:val="20"/>
              </w:rPr>
            </w:pPr>
            <w:r w:rsidRPr="00713387">
              <w:rPr>
                <w:rFonts w:ascii="Times New Roman" w:hAnsi="Times New Roman" w:cs="Times New Roman"/>
                <w:sz w:val="20"/>
                <w:szCs w:val="20"/>
              </w:rPr>
              <w:t>Proposal 2: Finer granularity resource reservation for LTE-MTC is also supported in the uplink</w:t>
            </w:r>
          </w:p>
        </w:tc>
      </w:tr>
      <w:tr w:rsidR="00CF51A4" w:rsidRPr="00713387" w14:paraId="153F5524" w14:textId="77777777" w:rsidTr="00DF2CB9">
        <w:tc>
          <w:tcPr>
            <w:tcW w:w="2830" w:type="dxa"/>
          </w:tcPr>
          <w:p w14:paraId="15F17B42" w14:textId="5AA89E48" w:rsidR="00CF51A4" w:rsidRPr="00713387" w:rsidRDefault="00CF51A4" w:rsidP="00DF2CB9">
            <w:pPr>
              <w:rPr>
                <w:rFonts w:ascii="Times New Roman" w:hAnsi="Times New Roman" w:cs="Times New Roman"/>
                <w:sz w:val="20"/>
                <w:lang w:eastAsia="zh-CN"/>
              </w:rPr>
            </w:pPr>
            <w:r w:rsidRPr="00713387">
              <w:rPr>
                <w:rFonts w:ascii="Times New Roman" w:hAnsi="Times New Roman" w:cs="Times New Roman"/>
                <w:sz w:val="20"/>
                <w:lang w:eastAsia="zh-CN"/>
              </w:rPr>
              <w:fldChar w:fldCharType="begin"/>
            </w:r>
            <w:r w:rsidRPr="00713387">
              <w:rPr>
                <w:rFonts w:ascii="Times New Roman" w:hAnsi="Times New Roman" w:cs="Times New Roman"/>
                <w:sz w:val="20"/>
                <w:lang w:eastAsia="zh-CN"/>
              </w:rPr>
              <w:instrText xml:space="preserve"> REF _Ref21690959 \r \h </w:instrText>
            </w:r>
            <w:r w:rsidR="00713387">
              <w:rPr>
                <w:rFonts w:ascii="Times New Roman" w:hAnsi="Times New Roman" w:cs="Times New Roman"/>
                <w:sz w:val="20"/>
                <w:lang w:eastAsia="zh-CN"/>
              </w:rPr>
              <w:instrText xml:space="preserve"> \* MERGEFORMAT </w:instrText>
            </w:r>
            <w:r w:rsidRPr="00713387">
              <w:rPr>
                <w:rFonts w:ascii="Times New Roman" w:hAnsi="Times New Roman" w:cs="Times New Roman"/>
                <w:sz w:val="20"/>
                <w:lang w:eastAsia="zh-CN"/>
              </w:rPr>
            </w:r>
            <w:r w:rsidRPr="00713387">
              <w:rPr>
                <w:rFonts w:ascii="Times New Roman" w:hAnsi="Times New Roman" w:cs="Times New Roman"/>
                <w:sz w:val="20"/>
                <w:lang w:eastAsia="zh-CN"/>
              </w:rPr>
              <w:fldChar w:fldCharType="separate"/>
            </w:r>
            <w:r w:rsidRPr="00713387">
              <w:rPr>
                <w:rFonts w:ascii="Times New Roman" w:hAnsi="Times New Roman" w:cs="Times New Roman"/>
                <w:sz w:val="20"/>
                <w:lang w:eastAsia="zh-CN"/>
              </w:rPr>
              <w:t>[8]</w:t>
            </w:r>
            <w:r w:rsidRPr="00713387">
              <w:rPr>
                <w:rFonts w:ascii="Times New Roman" w:hAnsi="Times New Roman" w:cs="Times New Roman"/>
                <w:sz w:val="20"/>
                <w:lang w:eastAsia="zh-CN"/>
              </w:rPr>
              <w:fldChar w:fldCharType="end"/>
            </w:r>
            <w:r w:rsidRPr="00713387">
              <w:rPr>
                <w:rFonts w:ascii="Times New Roman" w:hAnsi="Times New Roman" w:cs="Times New Roman"/>
                <w:sz w:val="20"/>
                <w:lang w:eastAsia="zh-CN"/>
              </w:rPr>
              <w:t xml:space="preserve"> NTT DOCOMO, INC.</w:t>
            </w:r>
          </w:p>
        </w:tc>
        <w:tc>
          <w:tcPr>
            <w:tcW w:w="6799" w:type="dxa"/>
          </w:tcPr>
          <w:p w14:paraId="6C124DCB" w14:textId="77777777" w:rsidR="00CF51A4" w:rsidRPr="00713387" w:rsidRDefault="00CF51A4" w:rsidP="00DF2CB9">
            <w:pPr>
              <w:rPr>
                <w:rFonts w:ascii="Times New Roman" w:hAnsi="Times New Roman" w:cs="Times New Roman"/>
                <w:sz w:val="20"/>
                <w:szCs w:val="20"/>
              </w:rPr>
            </w:pPr>
            <w:r w:rsidRPr="00713387">
              <w:rPr>
                <w:rFonts w:ascii="Times New Roman" w:hAnsi="Times New Roman" w:cs="Times New Roman"/>
                <w:sz w:val="20"/>
                <w:szCs w:val="20"/>
              </w:rPr>
              <w:t>Proposal 3: eMTC UL time-domain resource reservation is supported.</w:t>
            </w:r>
          </w:p>
        </w:tc>
      </w:tr>
    </w:tbl>
    <w:p w14:paraId="39B20B3D" w14:textId="67524459" w:rsidR="00CF51A4" w:rsidRPr="00713387" w:rsidRDefault="00CF51A4" w:rsidP="00CF51A4">
      <w:pPr>
        <w:pStyle w:val="Reference"/>
        <w:numPr>
          <w:ilvl w:val="0"/>
          <w:numId w:val="0"/>
        </w:numPr>
        <w:ind w:left="567" w:hanging="567"/>
        <w:rPr>
          <w:rFonts w:ascii="Arial" w:hAnsi="Arial" w:cs="Arial"/>
          <w:sz w:val="20"/>
          <w:lang w:val="en-US"/>
        </w:rPr>
      </w:pPr>
    </w:p>
    <w:p w14:paraId="6EDB59A5" w14:textId="77777777" w:rsidR="00713387" w:rsidRPr="00713387" w:rsidRDefault="00713387" w:rsidP="00713387">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713387">
        <w:rPr>
          <w:rFonts w:ascii="Arial" w:hAnsi="Arial" w:cs="Arial"/>
          <w:sz w:val="20"/>
          <w:szCs w:val="20"/>
          <w:lang w:val="en-US"/>
        </w:rPr>
        <w:t>Discuss whether to support finer-granularity LTE-MTC UL time-domain resource reservation or not and, if so, with which granularities and for which LTE-MTC UL transmissions.</w:t>
      </w:r>
    </w:p>
    <w:p w14:paraId="5A14E67E" w14:textId="77777777" w:rsidR="00713387" w:rsidRPr="00713387" w:rsidRDefault="00713387" w:rsidP="00CF51A4">
      <w:pPr>
        <w:pStyle w:val="Reference"/>
        <w:numPr>
          <w:ilvl w:val="0"/>
          <w:numId w:val="0"/>
        </w:numPr>
        <w:ind w:left="567" w:hanging="567"/>
        <w:rPr>
          <w:rFonts w:ascii="Arial" w:hAnsi="Arial" w:cs="Arial"/>
          <w:sz w:val="20"/>
          <w:lang w:val="en-US"/>
        </w:rPr>
      </w:pPr>
    </w:p>
    <w:p w14:paraId="46CF5031" w14:textId="77777777" w:rsidR="00531537" w:rsidRDefault="00531537" w:rsidP="00AD0CF0">
      <w:pPr>
        <w:pStyle w:val="Heading1"/>
        <w:numPr>
          <w:ilvl w:val="0"/>
          <w:numId w:val="0"/>
        </w:numPr>
        <w:ind w:left="432" w:hanging="432"/>
        <w:jc w:val="both"/>
        <w:textAlignment w:val="auto"/>
        <w:rPr>
          <w:lang w:val="en-US"/>
        </w:rPr>
      </w:pPr>
      <w:r>
        <w:rPr>
          <w:lang w:val="en-US"/>
        </w:rPr>
        <w:t>References</w:t>
      </w:r>
    </w:p>
    <w:bookmarkStart w:id="3" w:name="_Ref189809556"/>
    <w:bookmarkStart w:id="4" w:name="_Ref174151459"/>
    <w:bookmarkStart w:id="5" w:name="_Ref522090563"/>
    <w:p w14:paraId="2548A56D" w14:textId="1A61ACC7" w:rsidR="008903C6" w:rsidRPr="00827F53" w:rsidRDefault="003F3782" w:rsidP="008903C6">
      <w:pPr>
        <w:pStyle w:val="Reference"/>
        <w:numPr>
          <w:ilvl w:val="0"/>
          <w:numId w:val="10"/>
        </w:numPr>
        <w:overflowPunct w:val="0"/>
        <w:autoSpaceDE w:val="0"/>
        <w:autoSpaceDN w:val="0"/>
        <w:adjustRightInd w:val="0"/>
        <w:spacing w:after="120" w:line="240" w:lineRule="auto"/>
        <w:jc w:val="both"/>
        <w:rPr>
          <w:rFonts w:ascii="Arial" w:hAnsi="Arial" w:cs="Arial"/>
          <w:sz w:val="20"/>
          <w:szCs w:val="20"/>
          <w:lang w:val="en-US"/>
        </w:rPr>
      </w:pPr>
      <w:r w:rsidRPr="00827F53">
        <w:rPr>
          <w:rFonts w:ascii="Arial" w:hAnsi="Arial" w:cs="Arial"/>
          <w:sz w:val="20"/>
          <w:szCs w:val="20"/>
          <w:lang w:val="sv-SE"/>
        </w:rPr>
        <w:fldChar w:fldCharType="begin"/>
      </w:r>
      <w:r w:rsidRPr="00827F53">
        <w:rPr>
          <w:rFonts w:ascii="Arial" w:hAnsi="Arial" w:cs="Arial"/>
          <w:sz w:val="20"/>
          <w:szCs w:val="20"/>
          <w:lang w:val="en-US"/>
        </w:rPr>
        <w:instrText xml:space="preserve"> HYPERLINK "https://www.3gpp.org/ftp/tsg_ran/TSG_RAN/TSGR_84/Docs/RP-191356.zip" </w:instrText>
      </w:r>
      <w:r w:rsidRPr="00827F53">
        <w:rPr>
          <w:rFonts w:ascii="Arial" w:hAnsi="Arial" w:cs="Arial"/>
          <w:sz w:val="20"/>
          <w:szCs w:val="20"/>
          <w:lang w:val="sv-SE"/>
        </w:rPr>
        <w:fldChar w:fldCharType="separate"/>
      </w:r>
      <w:r w:rsidRPr="00827F53">
        <w:rPr>
          <w:rStyle w:val="Hyperlink"/>
          <w:rFonts w:ascii="Arial" w:hAnsi="Arial" w:cs="Arial"/>
          <w:sz w:val="20"/>
          <w:szCs w:val="20"/>
          <w:lang w:val="en-US"/>
        </w:rPr>
        <w:t>RP-191356</w:t>
      </w:r>
      <w:r w:rsidRPr="00827F53">
        <w:rPr>
          <w:rFonts w:ascii="Arial" w:hAnsi="Arial" w:cs="Arial"/>
          <w:sz w:val="20"/>
          <w:szCs w:val="20"/>
          <w:lang w:val="en-US"/>
        </w:rPr>
        <w:fldChar w:fldCharType="end"/>
      </w:r>
      <w:r w:rsidR="008903C6" w:rsidRPr="00827F53">
        <w:rPr>
          <w:rFonts w:ascii="Arial" w:hAnsi="Arial" w:cs="Arial"/>
          <w:sz w:val="20"/>
          <w:szCs w:val="20"/>
          <w:lang w:val="en-US"/>
        </w:rPr>
        <w:t>, “Revised WID: Additional MTC enhancements for LTE”</w:t>
      </w:r>
      <w:bookmarkEnd w:id="3"/>
      <w:bookmarkEnd w:id="4"/>
    </w:p>
    <w:bookmarkStart w:id="6" w:name="_Ref21690879"/>
    <w:bookmarkEnd w:id="5"/>
    <w:p w14:paraId="4C199EE4" w14:textId="5DF6F7A8" w:rsidR="004979E7" w:rsidRPr="004979E7" w:rsidRDefault="004979E7" w:rsidP="004979E7">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Pr>
          <w:rFonts w:ascii="Arial" w:hAnsi="Arial" w:cs="Arial"/>
          <w:sz w:val="20"/>
          <w:szCs w:val="20"/>
          <w:lang w:val="en-US"/>
        </w:rPr>
        <w:instrText xml:space="preserve"> HYPERLINK "http://www.3gpp.org/ftp/TSG_RAN/WG1_RL1/TSGR1_98b/Docs/R1-1909989.zip" </w:instrText>
      </w:r>
      <w:r>
        <w:rPr>
          <w:rFonts w:ascii="Arial" w:hAnsi="Arial" w:cs="Arial"/>
          <w:sz w:val="20"/>
          <w:szCs w:val="20"/>
          <w:lang w:val="en-US"/>
        </w:rPr>
        <w:fldChar w:fldCharType="separate"/>
      </w:r>
      <w:r w:rsidRPr="004979E7">
        <w:rPr>
          <w:rStyle w:val="Hyperlink"/>
          <w:rFonts w:ascii="Arial" w:hAnsi="Arial" w:cs="Arial"/>
          <w:sz w:val="20"/>
          <w:szCs w:val="20"/>
          <w:lang w:val="en-US"/>
        </w:rPr>
        <w:t>R1-1909989</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Coexistence of LTE-MTC with NR</w:t>
      </w:r>
      <w:r>
        <w:rPr>
          <w:rFonts w:ascii="Arial" w:hAnsi="Arial" w:cs="Arial"/>
          <w:sz w:val="20"/>
          <w:szCs w:val="20"/>
          <w:lang w:val="en-US"/>
        </w:rPr>
        <w:t xml:space="preserve">”, </w:t>
      </w:r>
      <w:r w:rsidRPr="004979E7">
        <w:rPr>
          <w:rFonts w:ascii="Arial" w:hAnsi="Arial" w:cs="Arial"/>
          <w:sz w:val="20"/>
          <w:szCs w:val="20"/>
          <w:lang w:val="en-US"/>
        </w:rPr>
        <w:t>Ericsson</w:t>
      </w:r>
      <w:bookmarkEnd w:id="6"/>
    </w:p>
    <w:bookmarkStart w:id="7" w:name="_Ref21690892"/>
    <w:p w14:paraId="0DF16F3E" w14:textId="46B61CC7" w:rsidR="004979E7" w:rsidRPr="004979E7" w:rsidRDefault="004979E7" w:rsidP="004979E7">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Pr>
          <w:rFonts w:ascii="Arial" w:hAnsi="Arial" w:cs="Arial"/>
          <w:sz w:val="20"/>
          <w:szCs w:val="20"/>
          <w:lang w:val="en-US"/>
        </w:rPr>
        <w:instrText xml:space="preserve"> HYPERLINK "http://www.3gpp.org/ftp/TSG_RAN/WG1_RL1/TSGR1_98b/Docs/R1-1910083.zip" </w:instrText>
      </w:r>
      <w:r>
        <w:rPr>
          <w:rFonts w:ascii="Arial" w:hAnsi="Arial" w:cs="Arial"/>
          <w:sz w:val="20"/>
          <w:szCs w:val="20"/>
          <w:lang w:val="en-US"/>
        </w:rPr>
        <w:fldChar w:fldCharType="separate"/>
      </w:r>
      <w:r w:rsidRPr="004979E7">
        <w:rPr>
          <w:rStyle w:val="Hyperlink"/>
          <w:rFonts w:ascii="Arial" w:hAnsi="Arial" w:cs="Arial"/>
          <w:sz w:val="20"/>
          <w:szCs w:val="20"/>
          <w:lang w:val="en-US"/>
        </w:rPr>
        <w:t>R1-1910083</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On eMTC co-existence with NR</w:t>
      </w:r>
      <w:r>
        <w:rPr>
          <w:rFonts w:ascii="Arial" w:hAnsi="Arial" w:cs="Arial"/>
          <w:sz w:val="20"/>
          <w:szCs w:val="20"/>
          <w:lang w:val="en-US"/>
        </w:rPr>
        <w:t xml:space="preserve">”, </w:t>
      </w:r>
      <w:r w:rsidRPr="004979E7">
        <w:rPr>
          <w:rFonts w:ascii="Arial" w:hAnsi="Arial" w:cs="Arial"/>
          <w:sz w:val="20"/>
          <w:szCs w:val="20"/>
          <w:lang w:val="en-US"/>
        </w:rPr>
        <w:t>Huawei, HiSilicon</w:t>
      </w:r>
      <w:bookmarkEnd w:id="7"/>
    </w:p>
    <w:bookmarkStart w:id="8" w:name="_Ref21690941"/>
    <w:p w14:paraId="02454BE8" w14:textId="50A6277F" w:rsidR="004979E7" w:rsidRPr="004979E7" w:rsidRDefault="004979E7" w:rsidP="004979E7">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Pr>
          <w:rFonts w:ascii="Arial" w:hAnsi="Arial" w:cs="Arial"/>
          <w:sz w:val="20"/>
          <w:szCs w:val="20"/>
          <w:lang w:val="en-US"/>
        </w:rPr>
        <w:instrText xml:space="preserve"> HYPERLINK "http://www.3gpp.org/ftp/TSG_RAN/WG1_RL1/TSGR1_98b/Docs/R1-1910248.zip" </w:instrText>
      </w:r>
      <w:r>
        <w:rPr>
          <w:rFonts w:ascii="Arial" w:hAnsi="Arial" w:cs="Arial"/>
          <w:sz w:val="20"/>
          <w:szCs w:val="20"/>
          <w:lang w:val="en-US"/>
        </w:rPr>
        <w:fldChar w:fldCharType="separate"/>
      </w:r>
      <w:r w:rsidRPr="004979E7">
        <w:rPr>
          <w:rStyle w:val="Hyperlink"/>
          <w:rFonts w:ascii="Arial" w:hAnsi="Arial" w:cs="Arial"/>
          <w:sz w:val="20"/>
          <w:szCs w:val="20"/>
          <w:lang w:val="en-US"/>
        </w:rPr>
        <w:t>R1-1910248</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Coexistence of eMTC with NR</w:t>
      </w:r>
      <w:r>
        <w:rPr>
          <w:rFonts w:ascii="Arial" w:hAnsi="Arial" w:cs="Arial"/>
          <w:sz w:val="20"/>
          <w:szCs w:val="20"/>
          <w:lang w:val="en-US"/>
        </w:rPr>
        <w:t xml:space="preserve">”, </w:t>
      </w:r>
      <w:r w:rsidRPr="004979E7">
        <w:rPr>
          <w:rFonts w:ascii="Arial" w:hAnsi="Arial" w:cs="Arial"/>
          <w:sz w:val="20"/>
          <w:szCs w:val="20"/>
          <w:lang w:val="en-US"/>
        </w:rPr>
        <w:t>Nokia, Nokia Shanghai Bell</w:t>
      </w:r>
      <w:bookmarkEnd w:id="8"/>
    </w:p>
    <w:bookmarkStart w:id="9" w:name="_Ref21690946"/>
    <w:p w14:paraId="377DC778" w14:textId="78A36FBA" w:rsidR="004979E7" w:rsidRPr="004979E7" w:rsidRDefault="004979E7" w:rsidP="004979E7">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Pr>
          <w:rFonts w:ascii="Arial" w:hAnsi="Arial" w:cs="Arial"/>
          <w:sz w:val="20"/>
          <w:szCs w:val="20"/>
          <w:lang w:val="en-US"/>
        </w:rPr>
        <w:instrText xml:space="preserve"> HYPERLINK "http://www.3gpp.org/ftp/TSG_RAN/WG1_RL1/TSGR1_98b/Docs/R1-1910265.zip" </w:instrText>
      </w:r>
      <w:r>
        <w:rPr>
          <w:rFonts w:ascii="Arial" w:hAnsi="Arial" w:cs="Arial"/>
          <w:sz w:val="20"/>
          <w:szCs w:val="20"/>
          <w:lang w:val="en-US"/>
        </w:rPr>
        <w:fldChar w:fldCharType="separate"/>
      </w:r>
      <w:r w:rsidRPr="004979E7">
        <w:rPr>
          <w:rStyle w:val="Hyperlink"/>
          <w:rFonts w:ascii="Arial" w:hAnsi="Arial" w:cs="Arial"/>
          <w:sz w:val="20"/>
          <w:szCs w:val="20"/>
          <w:lang w:val="en-US"/>
        </w:rPr>
        <w:t>R1-1910265</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Coexistence of LTE-MTC with NR</w:t>
      </w:r>
      <w:r>
        <w:rPr>
          <w:rFonts w:ascii="Arial" w:hAnsi="Arial" w:cs="Arial"/>
          <w:sz w:val="20"/>
          <w:szCs w:val="20"/>
          <w:lang w:val="en-US"/>
        </w:rPr>
        <w:t xml:space="preserve">”, </w:t>
      </w:r>
      <w:r w:rsidRPr="004979E7">
        <w:rPr>
          <w:rFonts w:ascii="Arial" w:hAnsi="Arial" w:cs="Arial"/>
          <w:sz w:val="20"/>
          <w:szCs w:val="20"/>
          <w:lang w:val="en-US"/>
        </w:rPr>
        <w:t>ZTE</w:t>
      </w:r>
      <w:bookmarkEnd w:id="9"/>
    </w:p>
    <w:bookmarkStart w:id="10" w:name="_Ref21690949"/>
    <w:p w14:paraId="6F5A054F" w14:textId="53D35616" w:rsidR="004979E7" w:rsidRPr="004979E7" w:rsidRDefault="004979E7" w:rsidP="004979E7">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Pr>
          <w:rFonts w:ascii="Arial" w:hAnsi="Arial" w:cs="Arial"/>
          <w:sz w:val="20"/>
          <w:szCs w:val="20"/>
          <w:lang w:val="en-US"/>
        </w:rPr>
        <w:instrText xml:space="preserve"> HYPERLINK "http://www.3gpp.org/ftp/TSG_RAN/WG1_RL1/TSGR1_98b/Docs/R1-1910719.zip" </w:instrText>
      </w:r>
      <w:r>
        <w:rPr>
          <w:rFonts w:ascii="Arial" w:hAnsi="Arial" w:cs="Arial"/>
          <w:sz w:val="20"/>
          <w:szCs w:val="20"/>
          <w:lang w:val="en-US"/>
        </w:rPr>
        <w:fldChar w:fldCharType="separate"/>
      </w:r>
      <w:r w:rsidRPr="004979E7">
        <w:rPr>
          <w:rStyle w:val="Hyperlink"/>
          <w:rFonts w:ascii="Arial" w:hAnsi="Arial" w:cs="Arial"/>
          <w:sz w:val="20"/>
          <w:szCs w:val="20"/>
          <w:lang w:val="en-US"/>
        </w:rPr>
        <w:t>R1-1910719</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Coexistence of LTE-MTC with NR</w:t>
      </w:r>
      <w:r>
        <w:rPr>
          <w:rFonts w:ascii="Arial" w:hAnsi="Arial" w:cs="Arial"/>
          <w:sz w:val="20"/>
          <w:szCs w:val="20"/>
          <w:lang w:val="en-US"/>
        </w:rPr>
        <w:t xml:space="preserve">”, </w:t>
      </w:r>
      <w:r w:rsidRPr="004979E7">
        <w:rPr>
          <w:rFonts w:ascii="Arial" w:hAnsi="Arial" w:cs="Arial"/>
          <w:sz w:val="20"/>
          <w:szCs w:val="20"/>
          <w:lang w:val="en-US"/>
        </w:rPr>
        <w:t>Qualcomm Incorporated</w:t>
      </w:r>
      <w:bookmarkEnd w:id="10"/>
    </w:p>
    <w:bookmarkStart w:id="11" w:name="_Ref21690953"/>
    <w:p w14:paraId="6B8A99D0" w14:textId="27A2E7E8" w:rsidR="004979E7" w:rsidRPr="004979E7" w:rsidRDefault="004979E7" w:rsidP="004979E7">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Pr>
          <w:rFonts w:ascii="Arial" w:hAnsi="Arial" w:cs="Arial"/>
          <w:sz w:val="20"/>
          <w:szCs w:val="20"/>
          <w:lang w:val="en-US"/>
        </w:rPr>
        <w:instrText xml:space="preserve"> HYPERLINK "http://www.3gpp.org/ftp/TSG_RAN/WG1_RL1/TSGR1_98b/Docs/R1-1910805.zip" </w:instrText>
      </w:r>
      <w:r>
        <w:rPr>
          <w:rFonts w:ascii="Arial" w:hAnsi="Arial" w:cs="Arial"/>
          <w:sz w:val="20"/>
          <w:szCs w:val="20"/>
          <w:lang w:val="en-US"/>
        </w:rPr>
        <w:fldChar w:fldCharType="separate"/>
      </w:r>
      <w:r w:rsidRPr="004979E7">
        <w:rPr>
          <w:rStyle w:val="Hyperlink"/>
          <w:rFonts w:ascii="Arial" w:hAnsi="Arial" w:cs="Arial"/>
          <w:sz w:val="20"/>
          <w:szCs w:val="20"/>
          <w:lang w:val="en-US"/>
        </w:rPr>
        <w:t>R1-1910805</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Discussion on coexistence of LTE-MTC with NR</w:t>
      </w:r>
      <w:r>
        <w:rPr>
          <w:rFonts w:ascii="Arial" w:hAnsi="Arial" w:cs="Arial"/>
          <w:sz w:val="20"/>
          <w:szCs w:val="20"/>
          <w:lang w:val="en-US"/>
        </w:rPr>
        <w:t xml:space="preserve">”, </w:t>
      </w:r>
      <w:r w:rsidRPr="004979E7">
        <w:rPr>
          <w:rFonts w:ascii="Arial" w:hAnsi="Arial" w:cs="Arial"/>
          <w:sz w:val="20"/>
          <w:szCs w:val="20"/>
          <w:lang w:val="en-US"/>
        </w:rPr>
        <w:t>LG Electronics</w:t>
      </w:r>
      <w:bookmarkEnd w:id="11"/>
    </w:p>
    <w:bookmarkStart w:id="12" w:name="_Ref21690959"/>
    <w:p w14:paraId="318E5E39" w14:textId="25FD5D65" w:rsidR="004979E7" w:rsidRPr="004979E7" w:rsidRDefault="004979E7" w:rsidP="004979E7">
      <w:pPr>
        <w:pStyle w:val="Reference"/>
        <w:numPr>
          <w:ilvl w:val="0"/>
          <w:numId w:val="10"/>
        </w:numPr>
        <w:rPr>
          <w:rFonts w:ascii="Arial" w:hAnsi="Arial" w:cs="Arial"/>
          <w:bCs/>
          <w:sz w:val="20"/>
          <w:szCs w:val="20"/>
          <w:u w:val="single"/>
          <w:lang w:val="en-US"/>
        </w:rPr>
      </w:pPr>
      <w:r>
        <w:rPr>
          <w:rFonts w:ascii="Arial" w:hAnsi="Arial" w:cs="Arial"/>
          <w:sz w:val="20"/>
          <w:szCs w:val="20"/>
          <w:lang w:val="en-US"/>
        </w:rPr>
        <w:fldChar w:fldCharType="begin"/>
      </w:r>
      <w:r>
        <w:rPr>
          <w:rFonts w:ascii="Arial" w:hAnsi="Arial" w:cs="Arial"/>
          <w:sz w:val="20"/>
          <w:szCs w:val="20"/>
          <w:lang w:val="en-US"/>
        </w:rPr>
        <w:instrText xml:space="preserve"> HYPERLINK "http://www.3gpp.org/ftp/TSG_RAN/WG1_RL1/TSGR1_98b/Docs/R1-1911151.zip" </w:instrText>
      </w:r>
      <w:r>
        <w:rPr>
          <w:rFonts w:ascii="Arial" w:hAnsi="Arial" w:cs="Arial"/>
          <w:sz w:val="20"/>
          <w:szCs w:val="20"/>
          <w:lang w:val="en-US"/>
        </w:rPr>
        <w:fldChar w:fldCharType="separate"/>
      </w:r>
      <w:r w:rsidRPr="004979E7">
        <w:rPr>
          <w:rStyle w:val="Hyperlink"/>
          <w:rFonts w:ascii="Arial" w:hAnsi="Arial" w:cs="Arial"/>
          <w:sz w:val="20"/>
          <w:szCs w:val="20"/>
          <w:lang w:val="en-US"/>
        </w:rPr>
        <w:t>R1-1911151</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Discussion on coexistence of eMTC with NR</w:t>
      </w:r>
      <w:r>
        <w:rPr>
          <w:rFonts w:ascii="Arial" w:hAnsi="Arial" w:cs="Arial"/>
          <w:sz w:val="20"/>
          <w:szCs w:val="20"/>
          <w:lang w:val="en-US"/>
        </w:rPr>
        <w:t xml:space="preserve">”, </w:t>
      </w:r>
      <w:r w:rsidRPr="004979E7">
        <w:rPr>
          <w:rFonts w:ascii="Arial" w:hAnsi="Arial" w:cs="Arial"/>
          <w:sz w:val="20"/>
          <w:szCs w:val="20"/>
          <w:lang w:val="en-US"/>
        </w:rPr>
        <w:t>NTT DOCOMO, INC.</w:t>
      </w:r>
      <w:bookmarkEnd w:id="12"/>
    </w:p>
    <w:sectPr w:rsidR="004979E7" w:rsidRPr="004979E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CD493" w14:textId="77777777" w:rsidR="00900E04" w:rsidRDefault="00900E04">
      <w:r>
        <w:separator/>
      </w:r>
    </w:p>
  </w:endnote>
  <w:endnote w:type="continuationSeparator" w:id="0">
    <w:p w14:paraId="123C97C0" w14:textId="77777777" w:rsidR="00900E04" w:rsidRDefault="00900E04">
      <w:r>
        <w:continuationSeparator/>
      </w:r>
    </w:p>
  </w:endnote>
  <w:endnote w:type="continuationNotice" w:id="1">
    <w:p w14:paraId="56C28B66" w14:textId="77777777" w:rsidR="00900E04" w:rsidRDefault="00900E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51E7E478" w:rsidR="00E97C70" w:rsidRDefault="00E97C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9A9D2" w14:textId="77777777" w:rsidR="00900E04" w:rsidRDefault="00900E04">
      <w:r>
        <w:separator/>
      </w:r>
    </w:p>
  </w:footnote>
  <w:footnote w:type="continuationSeparator" w:id="0">
    <w:p w14:paraId="24D84F46" w14:textId="77777777" w:rsidR="00900E04" w:rsidRDefault="00900E04">
      <w:r>
        <w:continuationSeparator/>
      </w:r>
    </w:p>
  </w:footnote>
  <w:footnote w:type="continuationNotice" w:id="1">
    <w:p w14:paraId="7612DF5F" w14:textId="77777777" w:rsidR="00900E04" w:rsidRDefault="00900E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E97C70" w:rsidRDefault="00E97C7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88061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53E2C"/>
    <w:multiLevelType w:val="hybridMultilevel"/>
    <w:tmpl w:val="9CBE9ECA"/>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202FA"/>
    <w:multiLevelType w:val="hybridMultilevel"/>
    <w:tmpl w:val="A6F4781A"/>
    <w:lvl w:ilvl="0" w:tplc="EBD880AE">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187971"/>
    <w:multiLevelType w:val="hybridMultilevel"/>
    <w:tmpl w:val="1506DD10"/>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D019FF"/>
    <w:multiLevelType w:val="hybridMultilevel"/>
    <w:tmpl w:val="05A29AE0"/>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8F563F"/>
    <w:multiLevelType w:val="hybridMultilevel"/>
    <w:tmpl w:val="FB545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D110E03"/>
    <w:multiLevelType w:val="hybridMultilevel"/>
    <w:tmpl w:val="56986BA6"/>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4A4EC1"/>
    <w:multiLevelType w:val="hybridMultilevel"/>
    <w:tmpl w:val="F8544642"/>
    <w:lvl w:ilvl="0" w:tplc="EBD880AE">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595C10"/>
    <w:multiLevelType w:val="hybridMultilevel"/>
    <w:tmpl w:val="AA2AAF80"/>
    <w:lvl w:ilvl="0" w:tplc="A4F27F1A">
      <w:start w:val="2"/>
      <w:numFmt w:val="bullet"/>
      <w:lvlText w:val="-"/>
      <w:lvlJc w:val="left"/>
      <w:pPr>
        <w:ind w:left="720" w:hanging="360"/>
      </w:pPr>
      <w:rPr>
        <w:rFonts w:ascii="Times" w:eastAsia="Times New Roma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6E6993E"/>
    <w:lvl w:ilvl="0" w:tplc="86D8B526">
      <w:start w:val="1"/>
      <w:numFmt w:val="decimal"/>
      <w:pStyle w:val="Proposal"/>
      <w:lvlText w:val="Proposal %1"/>
      <w:lvlJc w:val="left"/>
      <w:pPr>
        <w:tabs>
          <w:tab w:val="num" w:pos="1304"/>
        </w:tabs>
        <w:ind w:left="1304" w:hanging="1304"/>
      </w:pPr>
      <w:rPr>
        <w:rFonts w:asciiTheme="minorBidi" w:hAnsiTheme="minorBidi" w:cstheme="minorBidi"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D7C13"/>
    <w:multiLevelType w:val="hybridMultilevel"/>
    <w:tmpl w:val="65DACDA2"/>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FA2FD4"/>
    <w:multiLevelType w:val="hybridMultilevel"/>
    <w:tmpl w:val="3D00A1F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D73677"/>
    <w:multiLevelType w:val="hybridMultilevel"/>
    <w:tmpl w:val="7600498A"/>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B04B21"/>
    <w:multiLevelType w:val="hybridMultilevel"/>
    <w:tmpl w:val="C6F67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040BF"/>
    <w:multiLevelType w:val="hybridMultilevel"/>
    <w:tmpl w:val="4336FEEA"/>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043C3D"/>
    <w:multiLevelType w:val="hybridMultilevel"/>
    <w:tmpl w:val="598CC922"/>
    <w:lvl w:ilvl="0" w:tplc="6BBEE6B4">
      <w:numFmt w:val="bullet"/>
      <w:lvlText w:val="-"/>
      <w:lvlJc w:val="left"/>
      <w:pPr>
        <w:ind w:left="2061" w:hanging="360"/>
      </w:pPr>
      <w:rPr>
        <w:rFonts w:ascii="Times" w:eastAsia="Batang" w:hAnsi="Times" w:cs="Times"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7" w15:restartNumberingAfterBreak="0">
    <w:nsid w:val="619609C8"/>
    <w:multiLevelType w:val="hybridMultilevel"/>
    <w:tmpl w:val="C8201544"/>
    <w:lvl w:ilvl="0" w:tplc="EBD880AE">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EB1DF8"/>
    <w:multiLevelType w:val="hybridMultilevel"/>
    <w:tmpl w:val="CAFA9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3"/>
  </w:num>
  <w:num w:numId="4">
    <w:abstractNumId w:val="15"/>
  </w:num>
  <w:num w:numId="5">
    <w:abstractNumId w:val="10"/>
  </w:num>
  <w:num w:numId="6">
    <w:abstractNumId w:val="18"/>
  </w:num>
  <w:num w:numId="7">
    <w:abstractNumId w:val="25"/>
  </w:num>
  <w:num w:numId="8">
    <w:abstractNumId w:val="11"/>
  </w:num>
  <w:num w:numId="9">
    <w:abstractNumId w:val="2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8"/>
  </w:num>
  <w:num w:numId="15">
    <w:abstractNumId w:val="4"/>
  </w:num>
  <w:num w:numId="16">
    <w:abstractNumId w:val="20"/>
  </w:num>
  <w:num w:numId="17">
    <w:abstractNumId w:val="7"/>
  </w:num>
  <w:num w:numId="18">
    <w:abstractNumId w:val="9"/>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3"/>
  </w:num>
  <w:num w:numId="22">
    <w:abstractNumId w:val="12"/>
  </w:num>
  <w:num w:numId="23">
    <w:abstractNumId w:val="2"/>
  </w:num>
  <w:num w:numId="24">
    <w:abstractNumId w:val="17"/>
  </w:num>
  <w:num w:numId="25">
    <w:abstractNumId w:val="22"/>
  </w:num>
  <w:num w:numId="26">
    <w:abstractNumId w:val="6"/>
  </w:num>
  <w:num w:numId="27">
    <w:abstractNumId w:val="14"/>
  </w:num>
  <w:num w:numId="28">
    <w:abstractNumId w:val="1"/>
  </w:num>
  <w:num w:numId="29">
    <w:abstractNumId w:val="19"/>
  </w:num>
  <w:num w:numId="30">
    <w:abstractNumId w:val="5"/>
  </w:num>
  <w:num w:numId="31">
    <w:abstractNumId w:val="8"/>
  </w:num>
  <w:num w:numId="32">
    <w:abstractNumId w:val="24"/>
  </w:num>
  <w:num w:numId="33">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activeWritingStyle w:appName="MSWord" w:lang="es-MX"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0F5"/>
    <w:rsid w:val="000005FC"/>
    <w:rsid w:val="000006E1"/>
    <w:rsid w:val="000007B7"/>
    <w:rsid w:val="00001DC5"/>
    <w:rsid w:val="00002A37"/>
    <w:rsid w:val="000030BF"/>
    <w:rsid w:val="000034F9"/>
    <w:rsid w:val="000037D6"/>
    <w:rsid w:val="000041FC"/>
    <w:rsid w:val="00004538"/>
    <w:rsid w:val="000062A6"/>
    <w:rsid w:val="00006446"/>
    <w:rsid w:val="00006896"/>
    <w:rsid w:val="00006FC4"/>
    <w:rsid w:val="00007CDC"/>
    <w:rsid w:val="00010074"/>
    <w:rsid w:val="000100E9"/>
    <w:rsid w:val="000101FB"/>
    <w:rsid w:val="0001050B"/>
    <w:rsid w:val="000107F7"/>
    <w:rsid w:val="00010A72"/>
    <w:rsid w:val="00011B28"/>
    <w:rsid w:val="00012D32"/>
    <w:rsid w:val="00013659"/>
    <w:rsid w:val="000144D0"/>
    <w:rsid w:val="00014AB9"/>
    <w:rsid w:val="00015D15"/>
    <w:rsid w:val="0001658F"/>
    <w:rsid w:val="00016E78"/>
    <w:rsid w:val="00016F71"/>
    <w:rsid w:val="00017011"/>
    <w:rsid w:val="00017A2C"/>
    <w:rsid w:val="0002145C"/>
    <w:rsid w:val="00021E5E"/>
    <w:rsid w:val="00022A11"/>
    <w:rsid w:val="00022B45"/>
    <w:rsid w:val="00022C63"/>
    <w:rsid w:val="00022C65"/>
    <w:rsid w:val="00022F38"/>
    <w:rsid w:val="00023068"/>
    <w:rsid w:val="00023C3F"/>
    <w:rsid w:val="00023F1C"/>
    <w:rsid w:val="0002531D"/>
    <w:rsid w:val="0002564D"/>
    <w:rsid w:val="00025ECA"/>
    <w:rsid w:val="00027738"/>
    <w:rsid w:val="000325B8"/>
    <w:rsid w:val="00032EC1"/>
    <w:rsid w:val="00032F7E"/>
    <w:rsid w:val="00033DC5"/>
    <w:rsid w:val="000343AA"/>
    <w:rsid w:val="000345B6"/>
    <w:rsid w:val="000347BA"/>
    <w:rsid w:val="00034C15"/>
    <w:rsid w:val="00035582"/>
    <w:rsid w:val="00035808"/>
    <w:rsid w:val="00036BA1"/>
    <w:rsid w:val="00036D0A"/>
    <w:rsid w:val="00036E03"/>
    <w:rsid w:val="00041DF6"/>
    <w:rsid w:val="000422E2"/>
    <w:rsid w:val="0004273A"/>
    <w:rsid w:val="00042887"/>
    <w:rsid w:val="00042897"/>
    <w:rsid w:val="00042F22"/>
    <w:rsid w:val="000444EF"/>
    <w:rsid w:val="00044A3F"/>
    <w:rsid w:val="00045C7F"/>
    <w:rsid w:val="00045EFE"/>
    <w:rsid w:val="000463C6"/>
    <w:rsid w:val="00046871"/>
    <w:rsid w:val="00047FAD"/>
    <w:rsid w:val="00050080"/>
    <w:rsid w:val="00050B94"/>
    <w:rsid w:val="00051C11"/>
    <w:rsid w:val="00052A07"/>
    <w:rsid w:val="000532E3"/>
    <w:rsid w:val="000534E3"/>
    <w:rsid w:val="00055405"/>
    <w:rsid w:val="00055CFF"/>
    <w:rsid w:val="00055FDE"/>
    <w:rsid w:val="0005606A"/>
    <w:rsid w:val="00057117"/>
    <w:rsid w:val="00057F55"/>
    <w:rsid w:val="00060193"/>
    <w:rsid w:val="00060FF1"/>
    <w:rsid w:val="00061358"/>
    <w:rsid w:val="000616E7"/>
    <w:rsid w:val="00061E4D"/>
    <w:rsid w:val="000644EC"/>
    <w:rsid w:val="0006487E"/>
    <w:rsid w:val="00064C19"/>
    <w:rsid w:val="00065482"/>
    <w:rsid w:val="00065CFA"/>
    <w:rsid w:val="00065E1A"/>
    <w:rsid w:val="00065E24"/>
    <w:rsid w:val="00066EC3"/>
    <w:rsid w:val="0006716E"/>
    <w:rsid w:val="000677FF"/>
    <w:rsid w:val="00070C70"/>
    <w:rsid w:val="00071676"/>
    <w:rsid w:val="0007269A"/>
    <w:rsid w:val="00072710"/>
    <w:rsid w:val="00072E50"/>
    <w:rsid w:val="00074156"/>
    <w:rsid w:val="00074475"/>
    <w:rsid w:val="00074780"/>
    <w:rsid w:val="000753A1"/>
    <w:rsid w:val="00076487"/>
    <w:rsid w:val="00077B3B"/>
    <w:rsid w:val="00077E5F"/>
    <w:rsid w:val="0008036A"/>
    <w:rsid w:val="00080C78"/>
    <w:rsid w:val="000810A0"/>
    <w:rsid w:val="000813B5"/>
    <w:rsid w:val="000816D5"/>
    <w:rsid w:val="00081AE6"/>
    <w:rsid w:val="000827C3"/>
    <w:rsid w:val="00082BC1"/>
    <w:rsid w:val="00082D23"/>
    <w:rsid w:val="00083273"/>
    <w:rsid w:val="000835A7"/>
    <w:rsid w:val="00084039"/>
    <w:rsid w:val="000848D7"/>
    <w:rsid w:val="00084CD8"/>
    <w:rsid w:val="0008530C"/>
    <w:rsid w:val="000855EB"/>
    <w:rsid w:val="00085920"/>
    <w:rsid w:val="00085B52"/>
    <w:rsid w:val="000866F2"/>
    <w:rsid w:val="0008695D"/>
    <w:rsid w:val="0009009F"/>
    <w:rsid w:val="000906AD"/>
    <w:rsid w:val="00090D3A"/>
    <w:rsid w:val="00091557"/>
    <w:rsid w:val="00091B03"/>
    <w:rsid w:val="00091BB2"/>
    <w:rsid w:val="00091C80"/>
    <w:rsid w:val="00091CD4"/>
    <w:rsid w:val="0009234C"/>
    <w:rsid w:val="000924C1"/>
    <w:rsid w:val="000924F0"/>
    <w:rsid w:val="0009335A"/>
    <w:rsid w:val="00093474"/>
    <w:rsid w:val="000937A5"/>
    <w:rsid w:val="00094903"/>
    <w:rsid w:val="00094CC7"/>
    <w:rsid w:val="0009510F"/>
    <w:rsid w:val="0009583E"/>
    <w:rsid w:val="0009622C"/>
    <w:rsid w:val="00096352"/>
    <w:rsid w:val="00096EE0"/>
    <w:rsid w:val="00097077"/>
    <w:rsid w:val="000976E0"/>
    <w:rsid w:val="000A1303"/>
    <w:rsid w:val="000A1925"/>
    <w:rsid w:val="000A1B7B"/>
    <w:rsid w:val="000A2EB2"/>
    <w:rsid w:val="000A2F84"/>
    <w:rsid w:val="000A3C1B"/>
    <w:rsid w:val="000A45FC"/>
    <w:rsid w:val="000A4D8A"/>
    <w:rsid w:val="000A4F6F"/>
    <w:rsid w:val="000A52A3"/>
    <w:rsid w:val="000A52DC"/>
    <w:rsid w:val="000A56F2"/>
    <w:rsid w:val="000A6292"/>
    <w:rsid w:val="000A6EC4"/>
    <w:rsid w:val="000A720F"/>
    <w:rsid w:val="000A733D"/>
    <w:rsid w:val="000A7E5A"/>
    <w:rsid w:val="000B0AB7"/>
    <w:rsid w:val="000B0D32"/>
    <w:rsid w:val="000B18A0"/>
    <w:rsid w:val="000B1C13"/>
    <w:rsid w:val="000B1D85"/>
    <w:rsid w:val="000B2719"/>
    <w:rsid w:val="000B32BA"/>
    <w:rsid w:val="000B395C"/>
    <w:rsid w:val="000B3A8F"/>
    <w:rsid w:val="000B3B70"/>
    <w:rsid w:val="000B4A13"/>
    <w:rsid w:val="000B4AB9"/>
    <w:rsid w:val="000B58C3"/>
    <w:rsid w:val="000B5A30"/>
    <w:rsid w:val="000B61E9"/>
    <w:rsid w:val="000B62F0"/>
    <w:rsid w:val="000B6D59"/>
    <w:rsid w:val="000C165A"/>
    <w:rsid w:val="000C2C31"/>
    <w:rsid w:val="000C2E19"/>
    <w:rsid w:val="000C4131"/>
    <w:rsid w:val="000C64A0"/>
    <w:rsid w:val="000C697B"/>
    <w:rsid w:val="000D040A"/>
    <w:rsid w:val="000D0576"/>
    <w:rsid w:val="000D0D07"/>
    <w:rsid w:val="000D10A1"/>
    <w:rsid w:val="000D2B45"/>
    <w:rsid w:val="000D4797"/>
    <w:rsid w:val="000D4D99"/>
    <w:rsid w:val="000D5343"/>
    <w:rsid w:val="000D58DA"/>
    <w:rsid w:val="000D5AA7"/>
    <w:rsid w:val="000D5E14"/>
    <w:rsid w:val="000D5F64"/>
    <w:rsid w:val="000D65EF"/>
    <w:rsid w:val="000D6655"/>
    <w:rsid w:val="000D7C97"/>
    <w:rsid w:val="000D7EF5"/>
    <w:rsid w:val="000D7F82"/>
    <w:rsid w:val="000E0527"/>
    <w:rsid w:val="000E0D16"/>
    <w:rsid w:val="000E1E92"/>
    <w:rsid w:val="000E2052"/>
    <w:rsid w:val="000E2ADC"/>
    <w:rsid w:val="000E34A4"/>
    <w:rsid w:val="000E42B6"/>
    <w:rsid w:val="000E5556"/>
    <w:rsid w:val="000E6213"/>
    <w:rsid w:val="000F060F"/>
    <w:rsid w:val="000F06D6"/>
    <w:rsid w:val="000F0AB1"/>
    <w:rsid w:val="000F0CA7"/>
    <w:rsid w:val="000F0EB1"/>
    <w:rsid w:val="000F1106"/>
    <w:rsid w:val="000F28BA"/>
    <w:rsid w:val="000F2B8F"/>
    <w:rsid w:val="000F3733"/>
    <w:rsid w:val="000F3BE9"/>
    <w:rsid w:val="000F3F6C"/>
    <w:rsid w:val="000F4C5F"/>
    <w:rsid w:val="000F581F"/>
    <w:rsid w:val="000F6DF3"/>
    <w:rsid w:val="000F6EDD"/>
    <w:rsid w:val="000F6FF4"/>
    <w:rsid w:val="000F7A1A"/>
    <w:rsid w:val="00100084"/>
    <w:rsid w:val="0010045B"/>
    <w:rsid w:val="001005FF"/>
    <w:rsid w:val="00100E9F"/>
    <w:rsid w:val="00103327"/>
    <w:rsid w:val="00104164"/>
    <w:rsid w:val="001062FB"/>
    <w:rsid w:val="001063E6"/>
    <w:rsid w:val="001067D4"/>
    <w:rsid w:val="00106BCB"/>
    <w:rsid w:val="00106CC4"/>
    <w:rsid w:val="00106D49"/>
    <w:rsid w:val="00107597"/>
    <w:rsid w:val="00107A3F"/>
    <w:rsid w:val="00107FD8"/>
    <w:rsid w:val="00110A2C"/>
    <w:rsid w:val="0011379B"/>
    <w:rsid w:val="00113CF4"/>
    <w:rsid w:val="0011407E"/>
    <w:rsid w:val="001149A7"/>
    <w:rsid w:val="00115098"/>
    <w:rsid w:val="001153EA"/>
    <w:rsid w:val="00115643"/>
    <w:rsid w:val="00115D15"/>
    <w:rsid w:val="00116765"/>
    <w:rsid w:val="00116D05"/>
    <w:rsid w:val="00116D25"/>
    <w:rsid w:val="00120580"/>
    <w:rsid w:val="00120AEF"/>
    <w:rsid w:val="00121049"/>
    <w:rsid w:val="001219F5"/>
    <w:rsid w:val="00121A20"/>
    <w:rsid w:val="00122AFF"/>
    <w:rsid w:val="00122FC2"/>
    <w:rsid w:val="00123136"/>
    <w:rsid w:val="0012377F"/>
    <w:rsid w:val="001237AD"/>
    <w:rsid w:val="00123EB3"/>
    <w:rsid w:val="00124314"/>
    <w:rsid w:val="0012655A"/>
    <w:rsid w:val="00126B4A"/>
    <w:rsid w:val="00127299"/>
    <w:rsid w:val="00127D55"/>
    <w:rsid w:val="00127E3A"/>
    <w:rsid w:val="00127EA8"/>
    <w:rsid w:val="001306C7"/>
    <w:rsid w:val="00130CC6"/>
    <w:rsid w:val="0013138E"/>
    <w:rsid w:val="0013229D"/>
    <w:rsid w:val="00132626"/>
    <w:rsid w:val="00132FD0"/>
    <w:rsid w:val="001344C0"/>
    <w:rsid w:val="001346FA"/>
    <w:rsid w:val="001351F9"/>
    <w:rsid w:val="00135252"/>
    <w:rsid w:val="0013639F"/>
    <w:rsid w:val="00136EDE"/>
    <w:rsid w:val="00137AB5"/>
    <w:rsid w:val="00137F0B"/>
    <w:rsid w:val="0014034A"/>
    <w:rsid w:val="00140BAC"/>
    <w:rsid w:val="00141B8E"/>
    <w:rsid w:val="00141EF6"/>
    <w:rsid w:val="00141F12"/>
    <w:rsid w:val="00141FB7"/>
    <w:rsid w:val="00143529"/>
    <w:rsid w:val="00144707"/>
    <w:rsid w:val="00145B21"/>
    <w:rsid w:val="00147730"/>
    <w:rsid w:val="00147735"/>
    <w:rsid w:val="00147B0C"/>
    <w:rsid w:val="00150516"/>
    <w:rsid w:val="00150D17"/>
    <w:rsid w:val="00150FBA"/>
    <w:rsid w:val="0015153C"/>
    <w:rsid w:val="00151D76"/>
    <w:rsid w:val="00151D99"/>
    <w:rsid w:val="00151E10"/>
    <w:rsid w:val="00151E23"/>
    <w:rsid w:val="001521A7"/>
    <w:rsid w:val="00152478"/>
    <w:rsid w:val="001526E0"/>
    <w:rsid w:val="00153AE0"/>
    <w:rsid w:val="00154079"/>
    <w:rsid w:val="00154B9F"/>
    <w:rsid w:val="001551B5"/>
    <w:rsid w:val="00155633"/>
    <w:rsid w:val="00155CCD"/>
    <w:rsid w:val="00156D6D"/>
    <w:rsid w:val="0015719E"/>
    <w:rsid w:val="0015763F"/>
    <w:rsid w:val="00160F44"/>
    <w:rsid w:val="00161339"/>
    <w:rsid w:val="001627F3"/>
    <w:rsid w:val="00164E89"/>
    <w:rsid w:val="00164EE9"/>
    <w:rsid w:val="0016521B"/>
    <w:rsid w:val="0016585E"/>
    <w:rsid w:val="001659C1"/>
    <w:rsid w:val="00165C57"/>
    <w:rsid w:val="00166D97"/>
    <w:rsid w:val="00167219"/>
    <w:rsid w:val="00167308"/>
    <w:rsid w:val="001673D6"/>
    <w:rsid w:val="0017055A"/>
    <w:rsid w:val="00170B24"/>
    <w:rsid w:val="00170ECD"/>
    <w:rsid w:val="00172679"/>
    <w:rsid w:val="00173197"/>
    <w:rsid w:val="00173563"/>
    <w:rsid w:val="00173A8E"/>
    <w:rsid w:val="00175895"/>
    <w:rsid w:val="00175ADA"/>
    <w:rsid w:val="00175E87"/>
    <w:rsid w:val="001772FD"/>
    <w:rsid w:val="00177795"/>
    <w:rsid w:val="00180206"/>
    <w:rsid w:val="00180F5C"/>
    <w:rsid w:val="0018107B"/>
    <w:rsid w:val="0018143F"/>
    <w:rsid w:val="00181C27"/>
    <w:rsid w:val="00181D2B"/>
    <w:rsid w:val="001828A7"/>
    <w:rsid w:val="00182F1C"/>
    <w:rsid w:val="00183297"/>
    <w:rsid w:val="00183850"/>
    <w:rsid w:val="0018396B"/>
    <w:rsid w:val="00184233"/>
    <w:rsid w:val="00185100"/>
    <w:rsid w:val="00186C84"/>
    <w:rsid w:val="00186D0B"/>
    <w:rsid w:val="00187261"/>
    <w:rsid w:val="001874F8"/>
    <w:rsid w:val="001875F8"/>
    <w:rsid w:val="00190753"/>
    <w:rsid w:val="001907CB"/>
    <w:rsid w:val="00190AC1"/>
    <w:rsid w:val="00191E52"/>
    <w:rsid w:val="001920E0"/>
    <w:rsid w:val="001928FE"/>
    <w:rsid w:val="0019341A"/>
    <w:rsid w:val="00193690"/>
    <w:rsid w:val="00193C18"/>
    <w:rsid w:val="00194110"/>
    <w:rsid w:val="00194315"/>
    <w:rsid w:val="00194605"/>
    <w:rsid w:val="001952ED"/>
    <w:rsid w:val="00195DFB"/>
    <w:rsid w:val="00195EC0"/>
    <w:rsid w:val="001961E4"/>
    <w:rsid w:val="00196EEF"/>
    <w:rsid w:val="00197DF9"/>
    <w:rsid w:val="001A0286"/>
    <w:rsid w:val="001A0882"/>
    <w:rsid w:val="001A0E40"/>
    <w:rsid w:val="001A0F7B"/>
    <w:rsid w:val="001A1987"/>
    <w:rsid w:val="001A1B37"/>
    <w:rsid w:val="001A2564"/>
    <w:rsid w:val="001A2567"/>
    <w:rsid w:val="001A34AC"/>
    <w:rsid w:val="001A39A0"/>
    <w:rsid w:val="001A3C32"/>
    <w:rsid w:val="001A47D9"/>
    <w:rsid w:val="001A4D75"/>
    <w:rsid w:val="001A4FA8"/>
    <w:rsid w:val="001A6006"/>
    <w:rsid w:val="001A6173"/>
    <w:rsid w:val="001A6CBA"/>
    <w:rsid w:val="001A73FF"/>
    <w:rsid w:val="001A78DD"/>
    <w:rsid w:val="001A7AE9"/>
    <w:rsid w:val="001A7FCF"/>
    <w:rsid w:val="001B0B4F"/>
    <w:rsid w:val="001B0D97"/>
    <w:rsid w:val="001B1861"/>
    <w:rsid w:val="001B199A"/>
    <w:rsid w:val="001B2FDF"/>
    <w:rsid w:val="001B3256"/>
    <w:rsid w:val="001B4CF0"/>
    <w:rsid w:val="001B504C"/>
    <w:rsid w:val="001B53C4"/>
    <w:rsid w:val="001B5A5D"/>
    <w:rsid w:val="001B5BE9"/>
    <w:rsid w:val="001B5E4F"/>
    <w:rsid w:val="001B5EF1"/>
    <w:rsid w:val="001B70E2"/>
    <w:rsid w:val="001C02CF"/>
    <w:rsid w:val="001C1CE5"/>
    <w:rsid w:val="001C3B75"/>
    <w:rsid w:val="001C3D2A"/>
    <w:rsid w:val="001C519D"/>
    <w:rsid w:val="001C5A6B"/>
    <w:rsid w:val="001D06D5"/>
    <w:rsid w:val="001D13D8"/>
    <w:rsid w:val="001D1BCD"/>
    <w:rsid w:val="001D20A2"/>
    <w:rsid w:val="001D216C"/>
    <w:rsid w:val="001D4BE4"/>
    <w:rsid w:val="001D51BA"/>
    <w:rsid w:val="001D59EA"/>
    <w:rsid w:val="001D5B76"/>
    <w:rsid w:val="001D5E24"/>
    <w:rsid w:val="001D6342"/>
    <w:rsid w:val="001D6437"/>
    <w:rsid w:val="001D6D53"/>
    <w:rsid w:val="001D6E86"/>
    <w:rsid w:val="001D798B"/>
    <w:rsid w:val="001D7B4D"/>
    <w:rsid w:val="001D7FFE"/>
    <w:rsid w:val="001E076F"/>
    <w:rsid w:val="001E123A"/>
    <w:rsid w:val="001E1AB1"/>
    <w:rsid w:val="001E2198"/>
    <w:rsid w:val="001E2713"/>
    <w:rsid w:val="001E2DAB"/>
    <w:rsid w:val="001E32F6"/>
    <w:rsid w:val="001E4152"/>
    <w:rsid w:val="001E4596"/>
    <w:rsid w:val="001E58E2"/>
    <w:rsid w:val="001E68CD"/>
    <w:rsid w:val="001E7AED"/>
    <w:rsid w:val="001E7CD5"/>
    <w:rsid w:val="001E7E77"/>
    <w:rsid w:val="001F0588"/>
    <w:rsid w:val="001F0DDF"/>
    <w:rsid w:val="001F1151"/>
    <w:rsid w:val="001F13C2"/>
    <w:rsid w:val="001F1DE5"/>
    <w:rsid w:val="001F3916"/>
    <w:rsid w:val="001F3A21"/>
    <w:rsid w:val="001F3F0F"/>
    <w:rsid w:val="001F3F7B"/>
    <w:rsid w:val="001F54C5"/>
    <w:rsid w:val="001F6556"/>
    <w:rsid w:val="001F662C"/>
    <w:rsid w:val="001F7074"/>
    <w:rsid w:val="001F73B1"/>
    <w:rsid w:val="00200490"/>
    <w:rsid w:val="002004BC"/>
    <w:rsid w:val="00200A1C"/>
    <w:rsid w:val="002013BC"/>
    <w:rsid w:val="00201BF4"/>
    <w:rsid w:val="00201F3A"/>
    <w:rsid w:val="00201FD7"/>
    <w:rsid w:val="0020276C"/>
    <w:rsid w:val="002030DB"/>
    <w:rsid w:val="0020374B"/>
    <w:rsid w:val="00203F96"/>
    <w:rsid w:val="0020416D"/>
    <w:rsid w:val="0020466A"/>
    <w:rsid w:val="0020500B"/>
    <w:rsid w:val="002069B2"/>
    <w:rsid w:val="00207FA3"/>
    <w:rsid w:val="00210216"/>
    <w:rsid w:val="0021023C"/>
    <w:rsid w:val="002108D0"/>
    <w:rsid w:val="00211089"/>
    <w:rsid w:val="002110EB"/>
    <w:rsid w:val="00211346"/>
    <w:rsid w:val="002115C0"/>
    <w:rsid w:val="00211B51"/>
    <w:rsid w:val="0021217E"/>
    <w:rsid w:val="00213EF0"/>
    <w:rsid w:val="00213F8A"/>
    <w:rsid w:val="00214DA8"/>
    <w:rsid w:val="00215423"/>
    <w:rsid w:val="002158FA"/>
    <w:rsid w:val="00215EB9"/>
    <w:rsid w:val="002166C0"/>
    <w:rsid w:val="00220600"/>
    <w:rsid w:val="00220C70"/>
    <w:rsid w:val="002224DB"/>
    <w:rsid w:val="00222522"/>
    <w:rsid w:val="00222E06"/>
    <w:rsid w:val="00223FCB"/>
    <w:rsid w:val="0022420C"/>
    <w:rsid w:val="00224CB1"/>
    <w:rsid w:val="00225266"/>
    <w:rsid w:val="002252C3"/>
    <w:rsid w:val="00225C54"/>
    <w:rsid w:val="00226234"/>
    <w:rsid w:val="002269DD"/>
    <w:rsid w:val="002273B0"/>
    <w:rsid w:val="00227F7F"/>
    <w:rsid w:val="00230765"/>
    <w:rsid w:val="002319E4"/>
    <w:rsid w:val="00231D45"/>
    <w:rsid w:val="00232B73"/>
    <w:rsid w:val="00233362"/>
    <w:rsid w:val="00234030"/>
    <w:rsid w:val="00234CAA"/>
    <w:rsid w:val="00235632"/>
    <w:rsid w:val="00235872"/>
    <w:rsid w:val="00235B91"/>
    <w:rsid w:val="00236675"/>
    <w:rsid w:val="00236729"/>
    <w:rsid w:val="002367C1"/>
    <w:rsid w:val="00237F02"/>
    <w:rsid w:val="00240389"/>
    <w:rsid w:val="002408F3"/>
    <w:rsid w:val="00240BD0"/>
    <w:rsid w:val="00240D7A"/>
    <w:rsid w:val="00241052"/>
    <w:rsid w:val="0024148C"/>
    <w:rsid w:val="00241559"/>
    <w:rsid w:val="0024199E"/>
    <w:rsid w:val="00241E01"/>
    <w:rsid w:val="00242BA6"/>
    <w:rsid w:val="00242DBE"/>
    <w:rsid w:val="00243258"/>
    <w:rsid w:val="002432B9"/>
    <w:rsid w:val="002435B3"/>
    <w:rsid w:val="00244277"/>
    <w:rsid w:val="0024454D"/>
    <w:rsid w:val="00244760"/>
    <w:rsid w:val="002458EB"/>
    <w:rsid w:val="00245BEF"/>
    <w:rsid w:val="00246EF1"/>
    <w:rsid w:val="00247094"/>
    <w:rsid w:val="002500C8"/>
    <w:rsid w:val="00251D2F"/>
    <w:rsid w:val="0025240A"/>
    <w:rsid w:val="002536F8"/>
    <w:rsid w:val="002537BD"/>
    <w:rsid w:val="00253A8D"/>
    <w:rsid w:val="00254195"/>
    <w:rsid w:val="0025579D"/>
    <w:rsid w:val="00255CCE"/>
    <w:rsid w:val="00256255"/>
    <w:rsid w:val="002563B4"/>
    <w:rsid w:val="002567DE"/>
    <w:rsid w:val="002569B3"/>
    <w:rsid w:val="00256A85"/>
    <w:rsid w:val="002574DE"/>
    <w:rsid w:val="00257543"/>
    <w:rsid w:val="00257F8B"/>
    <w:rsid w:val="0026048B"/>
    <w:rsid w:val="00260A44"/>
    <w:rsid w:val="002617C8"/>
    <w:rsid w:val="002617E7"/>
    <w:rsid w:val="00261D1E"/>
    <w:rsid w:val="0026312F"/>
    <w:rsid w:val="00263A25"/>
    <w:rsid w:val="00263DF3"/>
    <w:rsid w:val="00264228"/>
    <w:rsid w:val="00264334"/>
    <w:rsid w:val="0026473E"/>
    <w:rsid w:val="00264DC2"/>
    <w:rsid w:val="00265A71"/>
    <w:rsid w:val="00265BDB"/>
    <w:rsid w:val="00266214"/>
    <w:rsid w:val="00266545"/>
    <w:rsid w:val="00266A8B"/>
    <w:rsid w:val="00267773"/>
    <w:rsid w:val="00267C83"/>
    <w:rsid w:val="002709EC"/>
    <w:rsid w:val="00270DEF"/>
    <w:rsid w:val="002712A9"/>
    <w:rsid w:val="002712EC"/>
    <w:rsid w:val="0027144F"/>
    <w:rsid w:val="002715D4"/>
    <w:rsid w:val="0027166F"/>
    <w:rsid w:val="00271F3A"/>
    <w:rsid w:val="0027292E"/>
    <w:rsid w:val="00273278"/>
    <w:rsid w:val="002737F4"/>
    <w:rsid w:val="0027421E"/>
    <w:rsid w:val="002743D8"/>
    <w:rsid w:val="00274D9C"/>
    <w:rsid w:val="0027713B"/>
    <w:rsid w:val="002805F5"/>
    <w:rsid w:val="00280751"/>
    <w:rsid w:val="002808F0"/>
    <w:rsid w:val="00280E68"/>
    <w:rsid w:val="00281428"/>
    <w:rsid w:val="0028280A"/>
    <w:rsid w:val="0028473A"/>
    <w:rsid w:val="00285090"/>
    <w:rsid w:val="002857B5"/>
    <w:rsid w:val="00286074"/>
    <w:rsid w:val="00286963"/>
    <w:rsid w:val="00286ACD"/>
    <w:rsid w:val="00287838"/>
    <w:rsid w:val="002907B5"/>
    <w:rsid w:val="00290B71"/>
    <w:rsid w:val="0029261B"/>
    <w:rsid w:val="00292EB7"/>
    <w:rsid w:val="0029303B"/>
    <w:rsid w:val="002946A6"/>
    <w:rsid w:val="00296227"/>
    <w:rsid w:val="00296F44"/>
    <w:rsid w:val="0029766D"/>
    <w:rsid w:val="0029777D"/>
    <w:rsid w:val="00297D90"/>
    <w:rsid w:val="00297DA3"/>
    <w:rsid w:val="002A055E"/>
    <w:rsid w:val="002A11F2"/>
    <w:rsid w:val="002A1D4E"/>
    <w:rsid w:val="002A2869"/>
    <w:rsid w:val="002A2E5A"/>
    <w:rsid w:val="002A4765"/>
    <w:rsid w:val="002A4ED2"/>
    <w:rsid w:val="002A52DB"/>
    <w:rsid w:val="002A5327"/>
    <w:rsid w:val="002A5552"/>
    <w:rsid w:val="002A6C74"/>
    <w:rsid w:val="002A718F"/>
    <w:rsid w:val="002B0F8E"/>
    <w:rsid w:val="002B123D"/>
    <w:rsid w:val="002B17B0"/>
    <w:rsid w:val="002B1D6F"/>
    <w:rsid w:val="002B24D6"/>
    <w:rsid w:val="002B53B3"/>
    <w:rsid w:val="002B6AF1"/>
    <w:rsid w:val="002B74E2"/>
    <w:rsid w:val="002C047E"/>
    <w:rsid w:val="002C0B34"/>
    <w:rsid w:val="002C1291"/>
    <w:rsid w:val="002C1306"/>
    <w:rsid w:val="002C14FD"/>
    <w:rsid w:val="002C1520"/>
    <w:rsid w:val="002C1687"/>
    <w:rsid w:val="002C185A"/>
    <w:rsid w:val="002C19C4"/>
    <w:rsid w:val="002C3C43"/>
    <w:rsid w:val="002C41E6"/>
    <w:rsid w:val="002C4297"/>
    <w:rsid w:val="002C442F"/>
    <w:rsid w:val="002C4715"/>
    <w:rsid w:val="002C4965"/>
    <w:rsid w:val="002C5BA4"/>
    <w:rsid w:val="002C6937"/>
    <w:rsid w:val="002D0676"/>
    <w:rsid w:val="002D071A"/>
    <w:rsid w:val="002D0A21"/>
    <w:rsid w:val="002D0B91"/>
    <w:rsid w:val="002D117D"/>
    <w:rsid w:val="002D164E"/>
    <w:rsid w:val="002D2A60"/>
    <w:rsid w:val="002D34B2"/>
    <w:rsid w:val="002D56C8"/>
    <w:rsid w:val="002D61BE"/>
    <w:rsid w:val="002D64DE"/>
    <w:rsid w:val="002D678F"/>
    <w:rsid w:val="002D7348"/>
    <w:rsid w:val="002D7602"/>
    <w:rsid w:val="002D7637"/>
    <w:rsid w:val="002E138F"/>
    <w:rsid w:val="002E17F2"/>
    <w:rsid w:val="002E225F"/>
    <w:rsid w:val="002E22F2"/>
    <w:rsid w:val="002E26D3"/>
    <w:rsid w:val="002E26F4"/>
    <w:rsid w:val="002E34FD"/>
    <w:rsid w:val="002E3B84"/>
    <w:rsid w:val="002E4FBD"/>
    <w:rsid w:val="002E58FC"/>
    <w:rsid w:val="002E5DEC"/>
    <w:rsid w:val="002E6F18"/>
    <w:rsid w:val="002E6FAA"/>
    <w:rsid w:val="002E7CAE"/>
    <w:rsid w:val="002F0D17"/>
    <w:rsid w:val="002F1105"/>
    <w:rsid w:val="002F1F26"/>
    <w:rsid w:val="002F208C"/>
    <w:rsid w:val="002F2385"/>
    <w:rsid w:val="002F2474"/>
    <w:rsid w:val="002F2771"/>
    <w:rsid w:val="002F37A9"/>
    <w:rsid w:val="002F37DD"/>
    <w:rsid w:val="002F39F8"/>
    <w:rsid w:val="002F483A"/>
    <w:rsid w:val="002F724F"/>
    <w:rsid w:val="002F7264"/>
    <w:rsid w:val="002F745C"/>
    <w:rsid w:val="002F7A65"/>
    <w:rsid w:val="003003A0"/>
    <w:rsid w:val="00300466"/>
    <w:rsid w:val="00300B3E"/>
    <w:rsid w:val="00300E98"/>
    <w:rsid w:val="00301AA1"/>
    <w:rsid w:val="00301CE6"/>
    <w:rsid w:val="0030246F"/>
    <w:rsid w:val="0030256B"/>
    <w:rsid w:val="00302ADA"/>
    <w:rsid w:val="00302F50"/>
    <w:rsid w:val="0030429B"/>
    <w:rsid w:val="0030501F"/>
    <w:rsid w:val="00305BB2"/>
    <w:rsid w:val="00306679"/>
    <w:rsid w:val="00306E79"/>
    <w:rsid w:val="00307BA1"/>
    <w:rsid w:val="00310AC9"/>
    <w:rsid w:val="003113F8"/>
    <w:rsid w:val="00311702"/>
    <w:rsid w:val="0031181A"/>
    <w:rsid w:val="003118EB"/>
    <w:rsid w:val="00311C0E"/>
    <w:rsid w:val="00311CF4"/>
    <w:rsid w:val="00311E82"/>
    <w:rsid w:val="00312DFA"/>
    <w:rsid w:val="003132EE"/>
    <w:rsid w:val="00313FD6"/>
    <w:rsid w:val="003143BD"/>
    <w:rsid w:val="00314F13"/>
    <w:rsid w:val="00316EB1"/>
    <w:rsid w:val="0031713E"/>
    <w:rsid w:val="003174F1"/>
    <w:rsid w:val="0031795A"/>
    <w:rsid w:val="003203ED"/>
    <w:rsid w:val="00321537"/>
    <w:rsid w:val="00321FA9"/>
    <w:rsid w:val="00321FE3"/>
    <w:rsid w:val="00322C9F"/>
    <w:rsid w:val="00323E38"/>
    <w:rsid w:val="00324857"/>
    <w:rsid w:val="00324D23"/>
    <w:rsid w:val="00324E94"/>
    <w:rsid w:val="00325FA9"/>
    <w:rsid w:val="003260FD"/>
    <w:rsid w:val="00326408"/>
    <w:rsid w:val="0032652A"/>
    <w:rsid w:val="00326AD9"/>
    <w:rsid w:val="00326F9C"/>
    <w:rsid w:val="003276E7"/>
    <w:rsid w:val="00327D79"/>
    <w:rsid w:val="003300EF"/>
    <w:rsid w:val="00331751"/>
    <w:rsid w:val="00332F8C"/>
    <w:rsid w:val="00333076"/>
    <w:rsid w:val="0033340B"/>
    <w:rsid w:val="00333854"/>
    <w:rsid w:val="0033393B"/>
    <w:rsid w:val="00333950"/>
    <w:rsid w:val="00334579"/>
    <w:rsid w:val="00334988"/>
    <w:rsid w:val="00334BA8"/>
    <w:rsid w:val="00334DE6"/>
    <w:rsid w:val="00335858"/>
    <w:rsid w:val="00336BDA"/>
    <w:rsid w:val="00336C6A"/>
    <w:rsid w:val="00337037"/>
    <w:rsid w:val="0033785B"/>
    <w:rsid w:val="003417D5"/>
    <w:rsid w:val="00341DD9"/>
    <w:rsid w:val="00342ABD"/>
    <w:rsid w:val="00342BD7"/>
    <w:rsid w:val="00342E20"/>
    <w:rsid w:val="0034316C"/>
    <w:rsid w:val="003439E3"/>
    <w:rsid w:val="00343A07"/>
    <w:rsid w:val="0034504D"/>
    <w:rsid w:val="00345063"/>
    <w:rsid w:val="00346C80"/>
    <w:rsid w:val="00346DB5"/>
    <w:rsid w:val="0034748B"/>
    <w:rsid w:val="003477B1"/>
    <w:rsid w:val="00347826"/>
    <w:rsid w:val="00347F8B"/>
    <w:rsid w:val="00350F18"/>
    <w:rsid w:val="003513ED"/>
    <w:rsid w:val="003524F9"/>
    <w:rsid w:val="0035419E"/>
    <w:rsid w:val="0035465A"/>
    <w:rsid w:val="00355502"/>
    <w:rsid w:val="00355BD5"/>
    <w:rsid w:val="0035626E"/>
    <w:rsid w:val="00357380"/>
    <w:rsid w:val="003575C7"/>
    <w:rsid w:val="00357E61"/>
    <w:rsid w:val="003602D9"/>
    <w:rsid w:val="0036031D"/>
    <w:rsid w:val="003604CE"/>
    <w:rsid w:val="00360B28"/>
    <w:rsid w:val="00360C85"/>
    <w:rsid w:val="003616EE"/>
    <w:rsid w:val="0036270B"/>
    <w:rsid w:val="00364032"/>
    <w:rsid w:val="00364D8A"/>
    <w:rsid w:val="003664D0"/>
    <w:rsid w:val="003671BC"/>
    <w:rsid w:val="0036774F"/>
    <w:rsid w:val="00370E47"/>
    <w:rsid w:val="00371A33"/>
    <w:rsid w:val="00371DF8"/>
    <w:rsid w:val="003721E5"/>
    <w:rsid w:val="00372F41"/>
    <w:rsid w:val="00373131"/>
    <w:rsid w:val="003741AA"/>
    <w:rsid w:val="003742AC"/>
    <w:rsid w:val="00375A1A"/>
    <w:rsid w:val="003767D5"/>
    <w:rsid w:val="003768F7"/>
    <w:rsid w:val="003768FE"/>
    <w:rsid w:val="00377A90"/>
    <w:rsid w:val="00377CE1"/>
    <w:rsid w:val="0038344E"/>
    <w:rsid w:val="00384F7C"/>
    <w:rsid w:val="00385288"/>
    <w:rsid w:val="003852F0"/>
    <w:rsid w:val="00385BF0"/>
    <w:rsid w:val="00385E2B"/>
    <w:rsid w:val="00386980"/>
    <w:rsid w:val="00386E01"/>
    <w:rsid w:val="003875C6"/>
    <w:rsid w:val="003878E4"/>
    <w:rsid w:val="00387CB9"/>
    <w:rsid w:val="00387CD8"/>
    <w:rsid w:val="00387EF3"/>
    <w:rsid w:val="00390B78"/>
    <w:rsid w:val="00391041"/>
    <w:rsid w:val="00391581"/>
    <w:rsid w:val="00391DCC"/>
    <w:rsid w:val="00392332"/>
    <w:rsid w:val="00392B92"/>
    <w:rsid w:val="003931C9"/>
    <w:rsid w:val="0039367A"/>
    <w:rsid w:val="003939FF"/>
    <w:rsid w:val="00393EA5"/>
    <w:rsid w:val="00394BBE"/>
    <w:rsid w:val="00395147"/>
    <w:rsid w:val="0039570D"/>
    <w:rsid w:val="00395E71"/>
    <w:rsid w:val="0039600C"/>
    <w:rsid w:val="00396C22"/>
    <w:rsid w:val="003977D0"/>
    <w:rsid w:val="00397E97"/>
    <w:rsid w:val="003A0074"/>
    <w:rsid w:val="003A019F"/>
    <w:rsid w:val="003A0970"/>
    <w:rsid w:val="003A0FFF"/>
    <w:rsid w:val="003A18EC"/>
    <w:rsid w:val="003A21A3"/>
    <w:rsid w:val="003A2223"/>
    <w:rsid w:val="003A2908"/>
    <w:rsid w:val="003A2A0F"/>
    <w:rsid w:val="003A2BB7"/>
    <w:rsid w:val="003A45A1"/>
    <w:rsid w:val="003A4B13"/>
    <w:rsid w:val="003A5420"/>
    <w:rsid w:val="003A5B0A"/>
    <w:rsid w:val="003A5FF4"/>
    <w:rsid w:val="003A6BAC"/>
    <w:rsid w:val="003A7EF3"/>
    <w:rsid w:val="003B0637"/>
    <w:rsid w:val="003B0C82"/>
    <w:rsid w:val="003B1243"/>
    <w:rsid w:val="003B159C"/>
    <w:rsid w:val="003B1CD2"/>
    <w:rsid w:val="003B2874"/>
    <w:rsid w:val="003B2BE9"/>
    <w:rsid w:val="003B2F80"/>
    <w:rsid w:val="003B369F"/>
    <w:rsid w:val="003B36A3"/>
    <w:rsid w:val="003B378C"/>
    <w:rsid w:val="003B3BE5"/>
    <w:rsid w:val="003B47F0"/>
    <w:rsid w:val="003B4DD1"/>
    <w:rsid w:val="003B56A3"/>
    <w:rsid w:val="003B5EB8"/>
    <w:rsid w:val="003B7C64"/>
    <w:rsid w:val="003B7C91"/>
    <w:rsid w:val="003B7E74"/>
    <w:rsid w:val="003B7FE5"/>
    <w:rsid w:val="003C11C8"/>
    <w:rsid w:val="003C238C"/>
    <w:rsid w:val="003C24E6"/>
    <w:rsid w:val="003C2702"/>
    <w:rsid w:val="003C2888"/>
    <w:rsid w:val="003C2BA0"/>
    <w:rsid w:val="003C3F3D"/>
    <w:rsid w:val="003C41F1"/>
    <w:rsid w:val="003C46F3"/>
    <w:rsid w:val="003C494C"/>
    <w:rsid w:val="003C5AC5"/>
    <w:rsid w:val="003C6270"/>
    <w:rsid w:val="003C7806"/>
    <w:rsid w:val="003C78C4"/>
    <w:rsid w:val="003C7D3E"/>
    <w:rsid w:val="003D008F"/>
    <w:rsid w:val="003D00F6"/>
    <w:rsid w:val="003D0400"/>
    <w:rsid w:val="003D109F"/>
    <w:rsid w:val="003D2141"/>
    <w:rsid w:val="003D2439"/>
    <w:rsid w:val="003D2478"/>
    <w:rsid w:val="003D359A"/>
    <w:rsid w:val="003D3C45"/>
    <w:rsid w:val="003D46DB"/>
    <w:rsid w:val="003D4F4C"/>
    <w:rsid w:val="003D5753"/>
    <w:rsid w:val="003D5B1F"/>
    <w:rsid w:val="003D74AA"/>
    <w:rsid w:val="003D74CB"/>
    <w:rsid w:val="003E082E"/>
    <w:rsid w:val="003E0A31"/>
    <w:rsid w:val="003E0A62"/>
    <w:rsid w:val="003E1503"/>
    <w:rsid w:val="003E15FA"/>
    <w:rsid w:val="003E22F9"/>
    <w:rsid w:val="003E2ADA"/>
    <w:rsid w:val="003E2FC5"/>
    <w:rsid w:val="003E3838"/>
    <w:rsid w:val="003E4268"/>
    <w:rsid w:val="003E4835"/>
    <w:rsid w:val="003E55E4"/>
    <w:rsid w:val="003E5E20"/>
    <w:rsid w:val="003E6848"/>
    <w:rsid w:val="003E6C50"/>
    <w:rsid w:val="003E6D52"/>
    <w:rsid w:val="003E74E3"/>
    <w:rsid w:val="003F05C7"/>
    <w:rsid w:val="003F08C8"/>
    <w:rsid w:val="003F1025"/>
    <w:rsid w:val="003F1249"/>
    <w:rsid w:val="003F12B3"/>
    <w:rsid w:val="003F1B1B"/>
    <w:rsid w:val="003F1EA9"/>
    <w:rsid w:val="003F2B2A"/>
    <w:rsid w:val="003F2CD4"/>
    <w:rsid w:val="003F377A"/>
    <w:rsid w:val="003F3782"/>
    <w:rsid w:val="003F3E41"/>
    <w:rsid w:val="003F4061"/>
    <w:rsid w:val="003F46C1"/>
    <w:rsid w:val="003F4C5C"/>
    <w:rsid w:val="003F50CF"/>
    <w:rsid w:val="003F6BBE"/>
    <w:rsid w:val="003F6CBD"/>
    <w:rsid w:val="004000E8"/>
    <w:rsid w:val="0040039F"/>
    <w:rsid w:val="00400695"/>
    <w:rsid w:val="00400DCC"/>
    <w:rsid w:val="0040154B"/>
    <w:rsid w:val="00401FC8"/>
    <w:rsid w:val="0040212F"/>
    <w:rsid w:val="00402600"/>
    <w:rsid w:val="00402E2B"/>
    <w:rsid w:val="00403113"/>
    <w:rsid w:val="00403F6F"/>
    <w:rsid w:val="0040401D"/>
    <w:rsid w:val="004048B0"/>
    <w:rsid w:val="00404910"/>
    <w:rsid w:val="00404C4D"/>
    <w:rsid w:val="0040512B"/>
    <w:rsid w:val="00405CA5"/>
    <w:rsid w:val="00406C2C"/>
    <w:rsid w:val="00406D3A"/>
    <w:rsid w:val="00406FB1"/>
    <w:rsid w:val="0040710A"/>
    <w:rsid w:val="004073FC"/>
    <w:rsid w:val="00407CD3"/>
    <w:rsid w:val="00407F25"/>
    <w:rsid w:val="00410134"/>
    <w:rsid w:val="00410381"/>
    <w:rsid w:val="00410B72"/>
    <w:rsid w:val="00410F18"/>
    <w:rsid w:val="0041129C"/>
    <w:rsid w:val="0041263E"/>
    <w:rsid w:val="00412B35"/>
    <w:rsid w:val="00412C52"/>
    <w:rsid w:val="00413AAC"/>
    <w:rsid w:val="004141B6"/>
    <w:rsid w:val="00415A5F"/>
    <w:rsid w:val="00416398"/>
    <w:rsid w:val="00417A29"/>
    <w:rsid w:val="004207F6"/>
    <w:rsid w:val="00420BE0"/>
    <w:rsid w:val="004210F1"/>
    <w:rsid w:val="00421105"/>
    <w:rsid w:val="0042179C"/>
    <w:rsid w:val="00421BF2"/>
    <w:rsid w:val="00423906"/>
    <w:rsid w:val="00423A3C"/>
    <w:rsid w:val="00423B38"/>
    <w:rsid w:val="00423DDD"/>
    <w:rsid w:val="00423F4B"/>
    <w:rsid w:val="00424205"/>
    <w:rsid w:val="004242F4"/>
    <w:rsid w:val="0042539C"/>
    <w:rsid w:val="004256E5"/>
    <w:rsid w:val="00426545"/>
    <w:rsid w:val="00427248"/>
    <w:rsid w:val="00430FE5"/>
    <w:rsid w:val="004326F1"/>
    <w:rsid w:val="00433034"/>
    <w:rsid w:val="0043314D"/>
    <w:rsid w:val="00435125"/>
    <w:rsid w:val="004360E3"/>
    <w:rsid w:val="00436219"/>
    <w:rsid w:val="00437143"/>
    <w:rsid w:val="004372D0"/>
    <w:rsid w:val="00437447"/>
    <w:rsid w:val="004374B4"/>
    <w:rsid w:val="004374F2"/>
    <w:rsid w:val="00437FF2"/>
    <w:rsid w:val="00441446"/>
    <w:rsid w:val="00441A92"/>
    <w:rsid w:val="00441DB9"/>
    <w:rsid w:val="00441FE8"/>
    <w:rsid w:val="004421A3"/>
    <w:rsid w:val="00443298"/>
    <w:rsid w:val="00443CBA"/>
    <w:rsid w:val="0044423E"/>
    <w:rsid w:val="00444F56"/>
    <w:rsid w:val="004463C5"/>
    <w:rsid w:val="00446488"/>
    <w:rsid w:val="00446538"/>
    <w:rsid w:val="00446A32"/>
    <w:rsid w:val="0045099B"/>
    <w:rsid w:val="00450B9D"/>
    <w:rsid w:val="004517AA"/>
    <w:rsid w:val="00452CAC"/>
    <w:rsid w:val="00454444"/>
    <w:rsid w:val="00455BF1"/>
    <w:rsid w:val="00456513"/>
    <w:rsid w:val="00457565"/>
    <w:rsid w:val="00457B71"/>
    <w:rsid w:val="00457B7D"/>
    <w:rsid w:val="00461520"/>
    <w:rsid w:val="0046163E"/>
    <w:rsid w:val="004617EC"/>
    <w:rsid w:val="004634D9"/>
    <w:rsid w:val="004635D6"/>
    <w:rsid w:val="00463A4C"/>
    <w:rsid w:val="00465CF6"/>
    <w:rsid w:val="004669E2"/>
    <w:rsid w:val="00467069"/>
    <w:rsid w:val="00470C31"/>
    <w:rsid w:val="00470CD9"/>
    <w:rsid w:val="0047109C"/>
    <w:rsid w:val="00473125"/>
    <w:rsid w:val="00473293"/>
    <w:rsid w:val="004734D0"/>
    <w:rsid w:val="0047364C"/>
    <w:rsid w:val="00473AD4"/>
    <w:rsid w:val="00474412"/>
    <w:rsid w:val="0047556B"/>
    <w:rsid w:val="00476F7F"/>
    <w:rsid w:val="00477753"/>
    <w:rsid w:val="00477768"/>
    <w:rsid w:val="00477A6D"/>
    <w:rsid w:val="00477E90"/>
    <w:rsid w:val="004818A8"/>
    <w:rsid w:val="00481F49"/>
    <w:rsid w:val="00482538"/>
    <w:rsid w:val="00482FEA"/>
    <w:rsid w:val="00484447"/>
    <w:rsid w:val="004844EB"/>
    <w:rsid w:val="00484828"/>
    <w:rsid w:val="00484C6C"/>
    <w:rsid w:val="00485A5B"/>
    <w:rsid w:val="00485F06"/>
    <w:rsid w:val="00487023"/>
    <w:rsid w:val="0048797A"/>
    <w:rsid w:val="00487C37"/>
    <w:rsid w:val="004918DD"/>
    <w:rsid w:val="00491D1F"/>
    <w:rsid w:val="0049263A"/>
    <w:rsid w:val="00492BC5"/>
    <w:rsid w:val="004939E0"/>
    <w:rsid w:val="00493FBA"/>
    <w:rsid w:val="00494270"/>
    <w:rsid w:val="00494559"/>
    <w:rsid w:val="00494A5E"/>
    <w:rsid w:val="00495962"/>
    <w:rsid w:val="004959B9"/>
    <w:rsid w:val="004961C3"/>
    <w:rsid w:val="004964F1"/>
    <w:rsid w:val="0049673D"/>
    <w:rsid w:val="00497115"/>
    <w:rsid w:val="004979E7"/>
    <w:rsid w:val="004A16BC"/>
    <w:rsid w:val="004A1DB2"/>
    <w:rsid w:val="004A2523"/>
    <w:rsid w:val="004A2B94"/>
    <w:rsid w:val="004A3C93"/>
    <w:rsid w:val="004A3F13"/>
    <w:rsid w:val="004A3F5D"/>
    <w:rsid w:val="004A4DC8"/>
    <w:rsid w:val="004A5250"/>
    <w:rsid w:val="004A53AB"/>
    <w:rsid w:val="004A66B7"/>
    <w:rsid w:val="004B1462"/>
    <w:rsid w:val="004B1906"/>
    <w:rsid w:val="004B26F8"/>
    <w:rsid w:val="004B2C0E"/>
    <w:rsid w:val="004B2DBC"/>
    <w:rsid w:val="004B348E"/>
    <w:rsid w:val="004B3531"/>
    <w:rsid w:val="004B3AAF"/>
    <w:rsid w:val="004B48ED"/>
    <w:rsid w:val="004B51DE"/>
    <w:rsid w:val="004B58BC"/>
    <w:rsid w:val="004B5F5B"/>
    <w:rsid w:val="004B5F88"/>
    <w:rsid w:val="004B61DD"/>
    <w:rsid w:val="004B685C"/>
    <w:rsid w:val="004B72C1"/>
    <w:rsid w:val="004B7AC9"/>
    <w:rsid w:val="004B7C0C"/>
    <w:rsid w:val="004C038C"/>
    <w:rsid w:val="004C0B69"/>
    <w:rsid w:val="004C1C13"/>
    <w:rsid w:val="004C3898"/>
    <w:rsid w:val="004C3C78"/>
    <w:rsid w:val="004C704B"/>
    <w:rsid w:val="004C7A6B"/>
    <w:rsid w:val="004D15D0"/>
    <w:rsid w:val="004D2039"/>
    <w:rsid w:val="004D272D"/>
    <w:rsid w:val="004D2843"/>
    <w:rsid w:val="004D36B1"/>
    <w:rsid w:val="004D43FC"/>
    <w:rsid w:val="004D4B44"/>
    <w:rsid w:val="004D535D"/>
    <w:rsid w:val="004D63B7"/>
    <w:rsid w:val="004D7EBD"/>
    <w:rsid w:val="004E0074"/>
    <w:rsid w:val="004E0781"/>
    <w:rsid w:val="004E16EB"/>
    <w:rsid w:val="004E1DB3"/>
    <w:rsid w:val="004E2680"/>
    <w:rsid w:val="004E26DA"/>
    <w:rsid w:val="004E28F9"/>
    <w:rsid w:val="004E2D26"/>
    <w:rsid w:val="004E33BC"/>
    <w:rsid w:val="004E3414"/>
    <w:rsid w:val="004E462E"/>
    <w:rsid w:val="004E5216"/>
    <w:rsid w:val="004E55C5"/>
    <w:rsid w:val="004E56DC"/>
    <w:rsid w:val="004E614B"/>
    <w:rsid w:val="004E76F4"/>
    <w:rsid w:val="004E7ADC"/>
    <w:rsid w:val="004E7E5E"/>
    <w:rsid w:val="004F0B4E"/>
    <w:rsid w:val="004F0B6C"/>
    <w:rsid w:val="004F0D65"/>
    <w:rsid w:val="004F0FA0"/>
    <w:rsid w:val="004F2078"/>
    <w:rsid w:val="004F2211"/>
    <w:rsid w:val="004F26FC"/>
    <w:rsid w:val="004F3A3C"/>
    <w:rsid w:val="004F4DA3"/>
    <w:rsid w:val="004F51B1"/>
    <w:rsid w:val="004F5C96"/>
    <w:rsid w:val="004F66A4"/>
    <w:rsid w:val="004F6E06"/>
    <w:rsid w:val="004F7935"/>
    <w:rsid w:val="00500879"/>
    <w:rsid w:val="0050096E"/>
    <w:rsid w:val="005011B5"/>
    <w:rsid w:val="005015AB"/>
    <w:rsid w:val="0050217A"/>
    <w:rsid w:val="00502204"/>
    <w:rsid w:val="0050285F"/>
    <w:rsid w:val="005032F8"/>
    <w:rsid w:val="00505221"/>
    <w:rsid w:val="00505569"/>
    <w:rsid w:val="0050574D"/>
    <w:rsid w:val="00506531"/>
    <w:rsid w:val="00506557"/>
    <w:rsid w:val="0050677A"/>
    <w:rsid w:val="005068AC"/>
    <w:rsid w:val="00507587"/>
    <w:rsid w:val="005077AB"/>
    <w:rsid w:val="005079E4"/>
    <w:rsid w:val="005107DB"/>
    <w:rsid w:val="005108D8"/>
    <w:rsid w:val="0051093C"/>
    <w:rsid w:val="005116F9"/>
    <w:rsid w:val="00512419"/>
    <w:rsid w:val="005134E2"/>
    <w:rsid w:val="00513E49"/>
    <w:rsid w:val="00513E69"/>
    <w:rsid w:val="00514DB7"/>
    <w:rsid w:val="00514E43"/>
    <w:rsid w:val="005153A7"/>
    <w:rsid w:val="00515422"/>
    <w:rsid w:val="00516E50"/>
    <w:rsid w:val="0051735E"/>
    <w:rsid w:val="00520050"/>
    <w:rsid w:val="00520605"/>
    <w:rsid w:val="00520683"/>
    <w:rsid w:val="00521276"/>
    <w:rsid w:val="005219CF"/>
    <w:rsid w:val="00521D5C"/>
    <w:rsid w:val="00522137"/>
    <w:rsid w:val="005222B0"/>
    <w:rsid w:val="0052372C"/>
    <w:rsid w:val="00525169"/>
    <w:rsid w:val="005253FA"/>
    <w:rsid w:val="0052549C"/>
    <w:rsid w:val="005257CE"/>
    <w:rsid w:val="0052581B"/>
    <w:rsid w:val="005259EB"/>
    <w:rsid w:val="00525EB8"/>
    <w:rsid w:val="00526E13"/>
    <w:rsid w:val="005276CA"/>
    <w:rsid w:val="00530FFD"/>
    <w:rsid w:val="00531537"/>
    <w:rsid w:val="00531852"/>
    <w:rsid w:val="00531ABB"/>
    <w:rsid w:val="00531DDD"/>
    <w:rsid w:val="00531E66"/>
    <w:rsid w:val="00532738"/>
    <w:rsid w:val="00532D5E"/>
    <w:rsid w:val="00533E31"/>
    <w:rsid w:val="00534B53"/>
    <w:rsid w:val="00534B59"/>
    <w:rsid w:val="00535C9C"/>
    <w:rsid w:val="00536018"/>
    <w:rsid w:val="0053610C"/>
    <w:rsid w:val="00536759"/>
    <w:rsid w:val="00537349"/>
    <w:rsid w:val="00537C62"/>
    <w:rsid w:val="005406E6"/>
    <w:rsid w:val="00540DA5"/>
    <w:rsid w:val="00540FF2"/>
    <w:rsid w:val="0054154D"/>
    <w:rsid w:val="0054205F"/>
    <w:rsid w:val="00542E84"/>
    <w:rsid w:val="005436F5"/>
    <w:rsid w:val="00543B34"/>
    <w:rsid w:val="00543D65"/>
    <w:rsid w:val="005440FF"/>
    <w:rsid w:val="00544B3E"/>
    <w:rsid w:val="005452B7"/>
    <w:rsid w:val="005463B1"/>
    <w:rsid w:val="00546970"/>
    <w:rsid w:val="00546A5B"/>
    <w:rsid w:val="005472D8"/>
    <w:rsid w:val="00547F4D"/>
    <w:rsid w:val="00550419"/>
    <w:rsid w:val="005507E7"/>
    <w:rsid w:val="005508D1"/>
    <w:rsid w:val="00550CE1"/>
    <w:rsid w:val="0055116C"/>
    <w:rsid w:val="0055173A"/>
    <w:rsid w:val="00552E6C"/>
    <w:rsid w:val="005534AF"/>
    <w:rsid w:val="005536E6"/>
    <w:rsid w:val="00553EE1"/>
    <w:rsid w:val="005544B3"/>
    <w:rsid w:val="00554E19"/>
    <w:rsid w:val="005557BD"/>
    <w:rsid w:val="00556189"/>
    <w:rsid w:val="00557265"/>
    <w:rsid w:val="00557B17"/>
    <w:rsid w:val="0056121F"/>
    <w:rsid w:val="00561415"/>
    <w:rsid w:val="005618D4"/>
    <w:rsid w:val="0056652E"/>
    <w:rsid w:val="00566637"/>
    <w:rsid w:val="00566D62"/>
    <w:rsid w:val="00566EB4"/>
    <w:rsid w:val="005672A2"/>
    <w:rsid w:val="00567D43"/>
    <w:rsid w:val="0057180C"/>
    <w:rsid w:val="00572505"/>
    <w:rsid w:val="00572E2D"/>
    <w:rsid w:val="005736C0"/>
    <w:rsid w:val="00573D51"/>
    <w:rsid w:val="00574157"/>
    <w:rsid w:val="005745AE"/>
    <w:rsid w:val="00574AE4"/>
    <w:rsid w:val="005754FB"/>
    <w:rsid w:val="0057624C"/>
    <w:rsid w:val="00576662"/>
    <w:rsid w:val="0057703B"/>
    <w:rsid w:val="00577C6B"/>
    <w:rsid w:val="0058242F"/>
    <w:rsid w:val="00582809"/>
    <w:rsid w:val="00583304"/>
    <w:rsid w:val="00583765"/>
    <w:rsid w:val="00583CE8"/>
    <w:rsid w:val="00583D65"/>
    <w:rsid w:val="005855F0"/>
    <w:rsid w:val="0058566C"/>
    <w:rsid w:val="00585B1B"/>
    <w:rsid w:val="00586264"/>
    <w:rsid w:val="005864F3"/>
    <w:rsid w:val="0058750B"/>
    <w:rsid w:val="0058798C"/>
    <w:rsid w:val="005900FA"/>
    <w:rsid w:val="00590780"/>
    <w:rsid w:val="00590ED8"/>
    <w:rsid w:val="0059164C"/>
    <w:rsid w:val="005935A4"/>
    <w:rsid w:val="00593847"/>
    <w:rsid w:val="00593BDF"/>
    <w:rsid w:val="00594400"/>
    <w:rsid w:val="00594673"/>
    <w:rsid w:val="005948C2"/>
    <w:rsid w:val="00594AC2"/>
    <w:rsid w:val="00595B96"/>
    <w:rsid w:val="00595DCA"/>
    <w:rsid w:val="0059605F"/>
    <w:rsid w:val="00596CE5"/>
    <w:rsid w:val="0059779B"/>
    <w:rsid w:val="005A1017"/>
    <w:rsid w:val="005A1099"/>
    <w:rsid w:val="005A10C0"/>
    <w:rsid w:val="005A1D77"/>
    <w:rsid w:val="005A209A"/>
    <w:rsid w:val="005A26CF"/>
    <w:rsid w:val="005A2DFD"/>
    <w:rsid w:val="005A335E"/>
    <w:rsid w:val="005A3CF0"/>
    <w:rsid w:val="005A5829"/>
    <w:rsid w:val="005A662D"/>
    <w:rsid w:val="005A6C3F"/>
    <w:rsid w:val="005A731D"/>
    <w:rsid w:val="005A736D"/>
    <w:rsid w:val="005A79A6"/>
    <w:rsid w:val="005A7DE7"/>
    <w:rsid w:val="005B119C"/>
    <w:rsid w:val="005B2734"/>
    <w:rsid w:val="005B2EE8"/>
    <w:rsid w:val="005B35D7"/>
    <w:rsid w:val="005B392A"/>
    <w:rsid w:val="005B3AA3"/>
    <w:rsid w:val="005B4700"/>
    <w:rsid w:val="005B47D7"/>
    <w:rsid w:val="005B50F7"/>
    <w:rsid w:val="005B54F6"/>
    <w:rsid w:val="005B56FE"/>
    <w:rsid w:val="005B5C8C"/>
    <w:rsid w:val="005B6B24"/>
    <w:rsid w:val="005B6F83"/>
    <w:rsid w:val="005B7290"/>
    <w:rsid w:val="005C038B"/>
    <w:rsid w:val="005C30A7"/>
    <w:rsid w:val="005C411C"/>
    <w:rsid w:val="005C4605"/>
    <w:rsid w:val="005C584E"/>
    <w:rsid w:val="005C5CD4"/>
    <w:rsid w:val="005C5D46"/>
    <w:rsid w:val="005C5FE0"/>
    <w:rsid w:val="005C6445"/>
    <w:rsid w:val="005C74FB"/>
    <w:rsid w:val="005D0625"/>
    <w:rsid w:val="005D0736"/>
    <w:rsid w:val="005D1021"/>
    <w:rsid w:val="005D1602"/>
    <w:rsid w:val="005D23E5"/>
    <w:rsid w:val="005D2C06"/>
    <w:rsid w:val="005D3C17"/>
    <w:rsid w:val="005D4D30"/>
    <w:rsid w:val="005D5AE9"/>
    <w:rsid w:val="005D653E"/>
    <w:rsid w:val="005D723C"/>
    <w:rsid w:val="005D7E07"/>
    <w:rsid w:val="005D7F1F"/>
    <w:rsid w:val="005E067A"/>
    <w:rsid w:val="005E0D16"/>
    <w:rsid w:val="005E2F8D"/>
    <w:rsid w:val="005E33E5"/>
    <w:rsid w:val="005E350A"/>
    <w:rsid w:val="005E385F"/>
    <w:rsid w:val="005E395A"/>
    <w:rsid w:val="005E3AB9"/>
    <w:rsid w:val="005E53AB"/>
    <w:rsid w:val="005E5B81"/>
    <w:rsid w:val="005E6112"/>
    <w:rsid w:val="005E7550"/>
    <w:rsid w:val="005E75AD"/>
    <w:rsid w:val="005F0756"/>
    <w:rsid w:val="005F0EDF"/>
    <w:rsid w:val="005F15D8"/>
    <w:rsid w:val="005F1A30"/>
    <w:rsid w:val="005F2CB1"/>
    <w:rsid w:val="005F2D22"/>
    <w:rsid w:val="005F3025"/>
    <w:rsid w:val="005F31FE"/>
    <w:rsid w:val="005F33E8"/>
    <w:rsid w:val="005F4799"/>
    <w:rsid w:val="005F4C85"/>
    <w:rsid w:val="005F514A"/>
    <w:rsid w:val="005F5162"/>
    <w:rsid w:val="005F618C"/>
    <w:rsid w:val="005F7097"/>
    <w:rsid w:val="005F70BD"/>
    <w:rsid w:val="005F735B"/>
    <w:rsid w:val="005F76F0"/>
    <w:rsid w:val="005F7D1C"/>
    <w:rsid w:val="00600A3F"/>
    <w:rsid w:val="00600BCF"/>
    <w:rsid w:val="00601EEB"/>
    <w:rsid w:val="0060265F"/>
    <w:rsid w:val="0060283C"/>
    <w:rsid w:val="00602B8E"/>
    <w:rsid w:val="00604F14"/>
    <w:rsid w:val="00605125"/>
    <w:rsid w:val="006052B6"/>
    <w:rsid w:val="00606C1B"/>
    <w:rsid w:val="00606E26"/>
    <w:rsid w:val="006074FC"/>
    <w:rsid w:val="00607C12"/>
    <w:rsid w:val="00607F83"/>
    <w:rsid w:val="00610105"/>
    <w:rsid w:val="006104B8"/>
    <w:rsid w:val="006115DA"/>
    <w:rsid w:val="00611A0F"/>
    <w:rsid w:val="00611B83"/>
    <w:rsid w:val="00612307"/>
    <w:rsid w:val="0061279F"/>
    <w:rsid w:val="00613257"/>
    <w:rsid w:val="006139BE"/>
    <w:rsid w:val="00614733"/>
    <w:rsid w:val="00614DD5"/>
    <w:rsid w:val="00614FD0"/>
    <w:rsid w:val="006177F4"/>
    <w:rsid w:val="00617FAD"/>
    <w:rsid w:val="00620A71"/>
    <w:rsid w:val="00620D80"/>
    <w:rsid w:val="006212A9"/>
    <w:rsid w:val="00621970"/>
    <w:rsid w:val="00622890"/>
    <w:rsid w:val="006234A6"/>
    <w:rsid w:val="0062422E"/>
    <w:rsid w:val="00624348"/>
    <w:rsid w:val="006245D4"/>
    <w:rsid w:val="006246AE"/>
    <w:rsid w:val="00625256"/>
    <w:rsid w:val="00625FEC"/>
    <w:rsid w:val="00626333"/>
    <w:rsid w:val="0062748F"/>
    <w:rsid w:val="006274D5"/>
    <w:rsid w:val="006279C9"/>
    <w:rsid w:val="00630001"/>
    <w:rsid w:val="006303BF"/>
    <w:rsid w:val="00630C1A"/>
    <w:rsid w:val="006311B3"/>
    <w:rsid w:val="00631883"/>
    <w:rsid w:val="00631C17"/>
    <w:rsid w:val="0063235B"/>
    <w:rsid w:val="0063284C"/>
    <w:rsid w:val="0063286A"/>
    <w:rsid w:val="00633DD0"/>
    <w:rsid w:val="00633FC4"/>
    <w:rsid w:val="00634870"/>
    <w:rsid w:val="006354D7"/>
    <w:rsid w:val="00636398"/>
    <w:rsid w:val="006367E0"/>
    <w:rsid w:val="006368D3"/>
    <w:rsid w:val="006377EC"/>
    <w:rsid w:val="00640069"/>
    <w:rsid w:val="006405D3"/>
    <w:rsid w:val="0064151F"/>
    <w:rsid w:val="00641533"/>
    <w:rsid w:val="00641B9A"/>
    <w:rsid w:val="0064208D"/>
    <w:rsid w:val="006420FE"/>
    <w:rsid w:val="0064221B"/>
    <w:rsid w:val="00643475"/>
    <w:rsid w:val="00643745"/>
    <w:rsid w:val="0064379B"/>
    <w:rsid w:val="006438C7"/>
    <w:rsid w:val="0064396A"/>
    <w:rsid w:val="00644E49"/>
    <w:rsid w:val="0064511F"/>
    <w:rsid w:val="0064624E"/>
    <w:rsid w:val="006464D7"/>
    <w:rsid w:val="00646FBB"/>
    <w:rsid w:val="00647386"/>
    <w:rsid w:val="00647509"/>
    <w:rsid w:val="00647E9F"/>
    <w:rsid w:val="00650110"/>
    <w:rsid w:val="00650AB9"/>
    <w:rsid w:val="00651C5D"/>
    <w:rsid w:val="006521FA"/>
    <w:rsid w:val="00653199"/>
    <w:rsid w:val="006545FA"/>
    <w:rsid w:val="006550F5"/>
    <w:rsid w:val="00655733"/>
    <w:rsid w:val="00655ACD"/>
    <w:rsid w:val="00656A92"/>
    <w:rsid w:val="00656DDE"/>
    <w:rsid w:val="0066011D"/>
    <w:rsid w:val="00660340"/>
    <w:rsid w:val="006607C0"/>
    <w:rsid w:val="0066104C"/>
    <w:rsid w:val="006613A6"/>
    <w:rsid w:val="006619CC"/>
    <w:rsid w:val="006621CA"/>
    <w:rsid w:val="00662316"/>
    <w:rsid w:val="006627A2"/>
    <w:rsid w:val="006634E6"/>
    <w:rsid w:val="0066361C"/>
    <w:rsid w:val="006640E0"/>
    <w:rsid w:val="006655EE"/>
    <w:rsid w:val="00665680"/>
    <w:rsid w:val="006664AE"/>
    <w:rsid w:val="00666932"/>
    <w:rsid w:val="00667070"/>
    <w:rsid w:val="0066789C"/>
    <w:rsid w:val="00667EE7"/>
    <w:rsid w:val="00670380"/>
    <w:rsid w:val="00670922"/>
    <w:rsid w:val="00670BE1"/>
    <w:rsid w:val="00672140"/>
    <w:rsid w:val="0067218F"/>
    <w:rsid w:val="00672CC9"/>
    <w:rsid w:val="00672D43"/>
    <w:rsid w:val="00674008"/>
    <w:rsid w:val="006741F2"/>
    <w:rsid w:val="00674B20"/>
    <w:rsid w:val="00674CC3"/>
    <w:rsid w:val="00675079"/>
    <w:rsid w:val="00675C72"/>
    <w:rsid w:val="006771F9"/>
    <w:rsid w:val="006773B0"/>
    <w:rsid w:val="006773C5"/>
    <w:rsid w:val="006776D7"/>
    <w:rsid w:val="00681003"/>
    <w:rsid w:val="006813C8"/>
    <w:rsid w:val="006817C9"/>
    <w:rsid w:val="00682655"/>
    <w:rsid w:val="00683695"/>
    <w:rsid w:val="00683ECE"/>
    <w:rsid w:val="0068461B"/>
    <w:rsid w:val="006854D9"/>
    <w:rsid w:val="00685DEB"/>
    <w:rsid w:val="00686555"/>
    <w:rsid w:val="00687983"/>
    <w:rsid w:val="00687D46"/>
    <w:rsid w:val="00690808"/>
    <w:rsid w:val="0069260E"/>
    <w:rsid w:val="006939A7"/>
    <w:rsid w:val="00693EDB"/>
    <w:rsid w:val="0069566E"/>
    <w:rsid w:val="00695685"/>
    <w:rsid w:val="00695D20"/>
    <w:rsid w:val="00695FC2"/>
    <w:rsid w:val="0069683F"/>
    <w:rsid w:val="00696949"/>
    <w:rsid w:val="00696B8C"/>
    <w:rsid w:val="00696E4F"/>
    <w:rsid w:val="00697052"/>
    <w:rsid w:val="0069710C"/>
    <w:rsid w:val="006A1BE0"/>
    <w:rsid w:val="006A1DA9"/>
    <w:rsid w:val="006A2C09"/>
    <w:rsid w:val="006A3973"/>
    <w:rsid w:val="006A3E00"/>
    <w:rsid w:val="006A3EC1"/>
    <w:rsid w:val="006A401E"/>
    <w:rsid w:val="006A43BB"/>
    <w:rsid w:val="006A4423"/>
    <w:rsid w:val="006A46B5"/>
    <w:rsid w:val="006A46FB"/>
    <w:rsid w:val="006A548B"/>
    <w:rsid w:val="006A5E28"/>
    <w:rsid w:val="006A697B"/>
    <w:rsid w:val="006A6FA6"/>
    <w:rsid w:val="006A72A6"/>
    <w:rsid w:val="006A7AFF"/>
    <w:rsid w:val="006A7B3B"/>
    <w:rsid w:val="006B10F9"/>
    <w:rsid w:val="006B1816"/>
    <w:rsid w:val="006B19B6"/>
    <w:rsid w:val="006B2099"/>
    <w:rsid w:val="006B234A"/>
    <w:rsid w:val="006B347E"/>
    <w:rsid w:val="006B34AF"/>
    <w:rsid w:val="006B43AC"/>
    <w:rsid w:val="006B4802"/>
    <w:rsid w:val="006B50CF"/>
    <w:rsid w:val="006B57AC"/>
    <w:rsid w:val="006B5B0F"/>
    <w:rsid w:val="006B5C25"/>
    <w:rsid w:val="006B676A"/>
    <w:rsid w:val="006B6D01"/>
    <w:rsid w:val="006B79A4"/>
    <w:rsid w:val="006C0219"/>
    <w:rsid w:val="006C03B8"/>
    <w:rsid w:val="006C0F92"/>
    <w:rsid w:val="006C1D4B"/>
    <w:rsid w:val="006C2764"/>
    <w:rsid w:val="006C2B76"/>
    <w:rsid w:val="006C3B88"/>
    <w:rsid w:val="006C3C95"/>
    <w:rsid w:val="006C3D00"/>
    <w:rsid w:val="006C4529"/>
    <w:rsid w:val="006C4866"/>
    <w:rsid w:val="006C5EC9"/>
    <w:rsid w:val="006C6059"/>
    <w:rsid w:val="006C6433"/>
    <w:rsid w:val="006C716E"/>
    <w:rsid w:val="006C7522"/>
    <w:rsid w:val="006D0734"/>
    <w:rsid w:val="006D155A"/>
    <w:rsid w:val="006D1DA7"/>
    <w:rsid w:val="006D211D"/>
    <w:rsid w:val="006D26EB"/>
    <w:rsid w:val="006D2966"/>
    <w:rsid w:val="006D46F4"/>
    <w:rsid w:val="006D4E25"/>
    <w:rsid w:val="006D58E2"/>
    <w:rsid w:val="006D603D"/>
    <w:rsid w:val="006D61D3"/>
    <w:rsid w:val="006D61D7"/>
    <w:rsid w:val="006D6CB0"/>
    <w:rsid w:val="006D6F08"/>
    <w:rsid w:val="006D6F24"/>
    <w:rsid w:val="006E0457"/>
    <w:rsid w:val="006E062C"/>
    <w:rsid w:val="006E0835"/>
    <w:rsid w:val="006E0CD5"/>
    <w:rsid w:val="006E0F96"/>
    <w:rsid w:val="006E10B7"/>
    <w:rsid w:val="006E1EBB"/>
    <w:rsid w:val="006E28B7"/>
    <w:rsid w:val="006E3310"/>
    <w:rsid w:val="006E3E58"/>
    <w:rsid w:val="006E4115"/>
    <w:rsid w:val="006E4E39"/>
    <w:rsid w:val="006E5225"/>
    <w:rsid w:val="006E565E"/>
    <w:rsid w:val="006E5BCC"/>
    <w:rsid w:val="006E6007"/>
    <w:rsid w:val="006E673D"/>
    <w:rsid w:val="006E7D3B"/>
    <w:rsid w:val="006E7DDC"/>
    <w:rsid w:val="006F0B1D"/>
    <w:rsid w:val="006F136B"/>
    <w:rsid w:val="006F1B70"/>
    <w:rsid w:val="006F2D11"/>
    <w:rsid w:val="006F341D"/>
    <w:rsid w:val="006F3CDE"/>
    <w:rsid w:val="006F4331"/>
    <w:rsid w:val="006F47FA"/>
    <w:rsid w:val="006F53F6"/>
    <w:rsid w:val="006F56F5"/>
    <w:rsid w:val="006F58D4"/>
    <w:rsid w:val="006F6384"/>
    <w:rsid w:val="006F6818"/>
    <w:rsid w:val="006F6BF6"/>
    <w:rsid w:val="006F78DC"/>
    <w:rsid w:val="007007BC"/>
    <w:rsid w:val="00701069"/>
    <w:rsid w:val="00701D34"/>
    <w:rsid w:val="0070279F"/>
    <w:rsid w:val="0070346E"/>
    <w:rsid w:val="00704024"/>
    <w:rsid w:val="00704DC4"/>
    <w:rsid w:val="00704EDB"/>
    <w:rsid w:val="00705819"/>
    <w:rsid w:val="00706101"/>
    <w:rsid w:val="007064D8"/>
    <w:rsid w:val="0070678F"/>
    <w:rsid w:val="00707072"/>
    <w:rsid w:val="007072F2"/>
    <w:rsid w:val="007077ED"/>
    <w:rsid w:val="00707D61"/>
    <w:rsid w:val="007113AB"/>
    <w:rsid w:val="00711D19"/>
    <w:rsid w:val="00712287"/>
    <w:rsid w:val="0071259C"/>
    <w:rsid w:val="00712772"/>
    <w:rsid w:val="007128CD"/>
    <w:rsid w:val="00713173"/>
    <w:rsid w:val="00713387"/>
    <w:rsid w:val="007142A4"/>
    <w:rsid w:val="007148D3"/>
    <w:rsid w:val="00715B9A"/>
    <w:rsid w:val="00716D3D"/>
    <w:rsid w:val="00717C1B"/>
    <w:rsid w:val="007202A4"/>
    <w:rsid w:val="00721238"/>
    <w:rsid w:val="00722C01"/>
    <w:rsid w:val="00725DEA"/>
    <w:rsid w:val="0072612F"/>
    <w:rsid w:val="007267E1"/>
    <w:rsid w:val="00726EA6"/>
    <w:rsid w:val="00726EAA"/>
    <w:rsid w:val="00726EFB"/>
    <w:rsid w:val="00727208"/>
    <w:rsid w:val="007274DC"/>
    <w:rsid w:val="00727650"/>
    <w:rsid w:val="00727680"/>
    <w:rsid w:val="0073043C"/>
    <w:rsid w:val="007304DA"/>
    <w:rsid w:val="00730518"/>
    <w:rsid w:val="00732461"/>
    <w:rsid w:val="00732A70"/>
    <w:rsid w:val="00732F2C"/>
    <w:rsid w:val="0073392C"/>
    <w:rsid w:val="00733D62"/>
    <w:rsid w:val="00733E2B"/>
    <w:rsid w:val="00734141"/>
    <w:rsid w:val="007348B1"/>
    <w:rsid w:val="007352D9"/>
    <w:rsid w:val="007355F9"/>
    <w:rsid w:val="007359D6"/>
    <w:rsid w:val="00735A9C"/>
    <w:rsid w:val="00735B94"/>
    <w:rsid w:val="007362A6"/>
    <w:rsid w:val="00736D7D"/>
    <w:rsid w:val="00737D4B"/>
    <w:rsid w:val="00740033"/>
    <w:rsid w:val="0074029B"/>
    <w:rsid w:val="00740773"/>
    <w:rsid w:val="00740E58"/>
    <w:rsid w:val="0074128C"/>
    <w:rsid w:val="00741381"/>
    <w:rsid w:val="00741CCC"/>
    <w:rsid w:val="00742B10"/>
    <w:rsid w:val="00742F51"/>
    <w:rsid w:val="007434B0"/>
    <w:rsid w:val="00743627"/>
    <w:rsid w:val="00743A45"/>
    <w:rsid w:val="00743B74"/>
    <w:rsid w:val="007443C5"/>
    <w:rsid w:val="007445A0"/>
    <w:rsid w:val="0074465D"/>
    <w:rsid w:val="00744BA6"/>
    <w:rsid w:val="0074524B"/>
    <w:rsid w:val="00745FE1"/>
    <w:rsid w:val="00746961"/>
    <w:rsid w:val="00747D8B"/>
    <w:rsid w:val="007511BE"/>
    <w:rsid w:val="00751228"/>
    <w:rsid w:val="0075188B"/>
    <w:rsid w:val="00752F81"/>
    <w:rsid w:val="0075394B"/>
    <w:rsid w:val="0075427B"/>
    <w:rsid w:val="00754507"/>
    <w:rsid w:val="00755667"/>
    <w:rsid w:val="007571E1"/>
    <w:rsid w:val="00757591"/>
    <w:rsid w:val="007577B6"/>
    <w:rsid w:val="00757862"/>
    <w:rsid w:val="00757FC6"/>
    <w:rsid w:val="0076022E"/>
    <w:rsid w:val="007604B2"/>
    <w:rsid w:val="007609D1"/>
    <w:rsid w:val="00761C19"/>
    <w:rsid w:val="00761DBA"/>
    <w:rsid w:val="00762311"/>
    <w:rsid w:val="007628AF"/>
    <w:rsid w:val="0076294B"/>
    <w:rsid w:val="00762CCF"/>
    <w:rsid w:val="00762E3F"/>
    <w:rsid w:val="007630C8"/>
    <w:rsid w:val="00763259"/>
    <w:rsid w:val="00763A33"/>
    <w:rsid w:val="00763ABF"/>
    <w:rsid w:val="00765117"/>
    <w:rsid w:val="00765281"/>
    <w:rsid w:val="00765301"/>
    <w:rsid w:val="007656A7"/>
    <w:rsid w:val="00765C75"/>
    <w:rsid w:val="0076680B"/>
    <w:rsid w:val="00766BAD"/>
    <w:rsid w:val="00767000"/>
    <w:rsid w:val="007671A1"/>
    <w:rsid w:val="0076766E"/>
    <w:rsid w:val="00767E7A"/>
    <w:rsid w:val="007702C6"/>
    <w:rsid w:val="00770919"/>
    <w:rsid w:val="0077133F"/>
    <w:rsid w:val="007715D3"/>
    <w:rsid w:val="00771F21"/>
    <w:rsid w:val="00772627"/>
    <w:rsid w:val="00772B12"/>
    <w:rsid w:val="00772DEC"/>
    <w:rsid w:val="00772FBF"/>
    <w:rsid w:val="007730BD"/>
    <w:rsid w:val="00774750"/>
    <w:rsid w:val="007755F2"/>
    <w:rsid w:val="00775A66"/>
    <w:rsid w:val="00775BAC"/>
    <w:rsid w:val="007760FB"/>
    <w:rsid w:val="0077652D"/>
    <w:rsid w:val="00776971"/>
    <w:rsid w:val="00777ED3"/>
    <w:rsid w:val="00780A15"/>
    <w:rsid w:val="00780BB9"/>
    <w:rsid w:val="00780D4F"/>
    <w:rsid w:val="00780E08"/>
    <w:rsid w:val="007810CD"/>
    <w:rsid w:val="0078160E"/>
    <w:rsid w:val="0078177E"/>
    <w:rsid w:val="007824D7"/>
    <w:rsid w:val="0078251A"/>
    <w:rsid w:val="007825F9"/>
    <w:rsid w:val="00782DC0"/>
    <w:rsid w:val="0078304C"/>
    <w:rsid w:val="007835CF"/>
    <w:rsid w:val="00783673"/>
    <w:rsid w:val="00783710"/>
    <w:rsid w:val="00783CCB"/>
    <w:rsid w:val="00783CEB"/>
    <w:rsid w:val="007846DA"/>
    <w:rsid w:val="0078472A"/>
    <w:rsid w:val="007847EB"/>
    <w:rsid w:val="00784810"/>
    <w:rsid w:val="00784A46"/>
    <w:rsid w:val="00785490"/>
    <w:rsid w:val="0078718B"/>
    <w:rsid w:val="00787A17"/>
    <w:rsid w:val="00787AA5"/>
    <w:rsid w:val="00790F79"/>
    <w:rsid w:val="00791202"/>
    <w:rsid w:val="007918DC"/>
    <w:rsid w:val="00792051"/>
    <w:rsid w:val="007925EA"/>
    <w:rsid w:val="007926FD"/>
    <w:rsid w:val="00792D64"/>
    <w:rsid w:val="00793CD8"/>
    <w:rsid w:val="00793D87"/>
    <w:rsid w:val="007941B1"/>
    <w:rsid w:val="007944D6"/>
    <w:rsid w:val="007956B7"/>
    <w:rsid w:val="00795C92"/>
    <w:rsid w:val="00796231"/>
    <w:rsid w:val="007A0279"/>
    <w:rsid w:val="007A0348"/>
    <w:rsid w:val="007A195B"/>
    <w:rsid w:val="007A1CB3"/>
    <w:rsid w:val="007A2766"/>
    <w:rsid w:val="007A2931"/>
    <w:rsid w:val="007A306F"/>
    <w:rsid w:val="007A3808"/>
    <w:rsid w:val="007A3AE2"/>
    <w:rsid w:val="007A3C9B"/>
    <w:rsid w:val="007A41DE"/>
    <w:rsid w:val="007A43A6"/>
    <w:rsid w:val="007A5364"/>
    <w:rsid w:val="007A5841"/>
    <w:rsid w:val="007A58A6"/>
    <w:rsid w:val="007A6A88"/>
    <w:rsid w:val="007A6EC4"/>
    <w:rsid w:val="007A7D16"/>
    <w:rsid w:val="007A7ED6"/>
    <w:rsid w:val="007B1040"/>
    <w:rsid w:val="007B104F"/>
    <w:rsid w:val="007B13F3"/>
    <w:rsid w:val="007B1965"/>
    <w:rsid w:val="007B2F7B"/>
    <w:rsid w:val="007B30D3"/>
    <w:rsid w:val="007B3D2D"/>
    <w:rsid w:val="007B3DD3"/>
    <w:rsid w:val="007B50AE"/>
    <w:rsid w:val="007B51DF"/>
    <w:rsid w:val="007B6ADC"/>
    <w:rsid w:val="007B741D"/>
    <w:rsid w:val="007B797E"/>
    <w:rsid w:val="007C05D3"/>
    <w:rsid w:val="007C05DD"/>
    <w:rsid w:val="007C2094"/>
    <w:rsid w:val="007C2B1D"/>
    <w:rsid w:val="007C3D18"/>
    <w:rsid w:val="007C3E70"/>
    <w:rsid w:val="007C4B77"/>
    <w:rsid w:val="007C5598"/>
    <w:rsid w:val="007C5CE9"/>
    <w:rsid w:val="007C5E43"/>
    <w:rsid w:val="007C60BF"/>
    <w:rsid w:val="007C61AF"/>
    <w:rsid w:val="007C6A07"/>
    <w:rsid w:val="007C75A1"/>
    <w:rsid w:val="007C77A5"/>
    <w:rsid w:val="007D04E5"/>
    <w:rsid w:val="007D0E39"/>
    <w:rsid w:val="007D31CE"/>
    <w:rsid w:val="007D3377"/>
    <w:rsid w:val="007D533D"/>
    <w:rsid w:val="007D56E8"/>
    <w:rsid w:val="007D5901"/>
    <w:rsid w:val="007D68FF"/>
    <w:rsid w:val="007D7526"/>
    <w:rsid w:val="007D7B6D"/>
    <w:rsid w:val="007D7D03"/>
    <w:rsid w:val="007D7D2B"/>
    <w:rsid w:val="007E1C59"/>
    <w:rsid w:val="007E2484"/>
    <w:rsid w:val="007E2687"/>
    <w:rsid w:val="007E2C87"/>
    <w:rsid w:val="007E3161"/>
    <w:rsid w:val="007E3E9E"/>
    <w:rsid w:val="007E3F37"/>
    <w:rsid w:val="007E40D0"/>
    <w:rsid w:val="007E4610"/>
    <w:rsid w:val="007E4715"/>
    <w:rsid w:val="007E505B"/>
    <w:rsid w:val="007E5CAA"/>
    <w:rsid w:val="007E6256"/>
    <w:rsid w:val="007E7091"/>
    <w:rsid w:val="007E7928"/>
    <w:rsid w:val="007F01ED"/>
    <w:rsid w:val="007F0647"/>
    <w:rsid w:val="007F135B"/>
    <w:rsid w:val="007F1AD4"/>
    <w:rsid w:val="007F2DAF"/>
    <w:rsid w:val="007F30D2"/>
    <w:rsid w:val="007F3ABF"/>
    <w:rsid w:val="007F406C"/>
    <w:rsid w:val="007F4368"/>
    <w:rsid w:val="007F4B2F"/>
    <w:rsid w:val="007F4FA6"/>
    <w:rsid w:val="007F5150"/>
    <w:rsid w:val="007F5CAA"/>
    <w:rsid w:val="007F5CF1"/>
    <w:rsid w:val="007F6CBD"/>
    <w:rsid w:val="007F6E23"/>
    <w:rsid w:val="007F7944"/>
    <w:rsid w:val="008015F9"/>
    <w:rsid w:val="008018C1"/>
    <w:rsid w:val="00802949"/>
    <w:rsid w:val="00802A62"/>
    <w:rsid w:val="00802C97"/>
    <w:rsid w:val="0080346A"/>
    <w:rsid w:val="008035C1"/>
    <w:rsid w:val="008038B7"/>
    <w:rsid w:val="00803E89"/>
    <w:rsid w:val="00803FAE"/>
    <w:rsid w:val="0080561A"/>
    <w:rsid w:val="0080605F"/>
    <w:rsid w:val="008075A3"/>
    <w:rsid w:val="00807786"/>
    <w:rsid w:val="00807C0A"/>
    <w:rsid w:val="00810BBF"/>
    <w:rsid w:val="00811C44"/>
    <w:rsid w:val="00811FCB"/>
    <w:rsid w:val="00812985"/>
    <w:rsid w:val="00812EB7"/>
    <w:rsid w:val="008138B3"/>
    <w:rsid w:val="008146D0"/>
    <w:rsid w:val="00814AFE"/>
    <w:rsid w:val="00814B95"/>
    <w:rsid w:val="00815257"/>
    <w:rsid w:val="008158D6"/>
    <w:rsid w:val="0081616E"/>
    <w:rsid w:val="0081663E"/>
    <w:rsid w:val="00816F6E"/>
    <w:rsid w:val="00817196"/>
    <w:rsid w:val="008175FD"/>
    <w:rsid w:val="00820A86"/>
    <w:rsid w:val="00820D90"/>
    <w:rsid w:val="008220B0"/>
    <w:rsid w:val="0082232D"/>
    <w:rsid w:val="00822720"/>
    <w:rsid w:val="00822FA3"/>
    <w:rsid w:val="008235DB"/>
    <w:rsid w:val="00823A8D"/>
    <w:rsid w:val="00823CCC"/>
    <w:rsid w:val="00823E29"/>
    <w:rsid w:val="00824AB4"/>
    <w:rsid w:val="00824B5B"/>
    <w:rsid w:val="0082503A"/>
    <w:rsid w:val="008254B6"/>
    <w:rsid w:val="00825C42"/>
    <w:rsid w:val="00825C83"/>
    <w:rsid w:val="00825D25"/>
    <w:rsid w:val="00825E2A"/>
    <w:rsid w:val="00826833"/>
    <w:rsid w:val="00826B51"/>
    <w:rsid w:val="00827598"/>
    <w:rsid w:val="008275C2"/>
    <w:rsid w:val="00827A6A"/>
    <w:rsid w:val="00827D6F"/>
    <w:rsid w:val="00827F53"/>
    <w:rsid w:val="008302A8"/>
    <w:rsid w:val="008303ED"/>
    <w:rsid w:val="0083091A"/>
    <w:rsid w:val="008309A9"/>
    <w:rsid w:val="00830A16"/>
    <w:rsid w:val="00830A86"/>
    <w:rsid w:val="008312A5"/>
    <w:rsid w:val="008321AE"/>
    <w:rsid w:val="008324B2"/>
    <w:rsid w:val="00832B61"/>
    <w:rsid w:val="00832DAC"/>
    <w:rsid w:val="008335BB"/>
    <w:rsid w:val="00833E1F"/>
    <w:rsid w:val="00833E66"/>
    <w:rsid w:val="008348A8"/>
    <w:rsid w:val="008359EA"/>
    <w:rsid w:val="00836193"/>
    <w:rsid w:val="008362C2"/>
    <w:rsid w:val="00836929"/>
    <w:rsid w:val="008376AC"/>
    <w:rsid w:val="00837DF0"/>
    <w:rsid w:val="00840018"/>
    <w:rsid w:val="00840DB1"/>
    <w:rsid w:val="00842059"/>
    <w:rsid w:val="00843BDD"/>
    <w:rsid w:val="008444E8"/>
    <w:rsid w:val="008445F8"/>
    <w:rsid w:val="00844E80"/>
    <w:rsid w:val="00846FE7"/>
    <w:rsid w:val="008476C3"/>
    <w:rsid w:val="008476E6"/>
    <w:rsid w:val="00850676"/>
    <w:rsid w:val="00850858"/>
    <w:rsid w:val="00850C01"/>
    <w:rsid w:val="00851291"/>
    <w:rsid w:val="0085199F"/>
    <w:rsid w:val="00852356"/>
    <w:rsid w:val="00852B43"/>
    <w:rsid w:val="00852CB5"/>
    <w:rsid w:val="008535B1"/>
    <w:rsid w:val="00853628"/>
    <w:rsid w:val="00856911"/>
    <w:rsid w:val="00857023"/>
    <w:rsid w:val="00860B98"/>
    <w:rsid w:val="008625ED"/>
    <w:rsid w:val="00862C4C"/>
    <w:rsid w:val="00863034"/>
    <w:rsid w:val="00863FA0"/>
    <w:rsid w:val="00865915"/>
    <w:rsid w:val="00865B0E"/>
    <w:rsid w:val="00865C76"/>
    <w:rsid w:val="008660F0"/>
    <w:rsid w:val="008667B0"/>
    <w:rsid w:val="00867064"/>
    <w:rsid w:val="008673AE"/>
    <w:rsid w:val="0086775E"/>
    <w:rsid w:val="008677FD"/>
    <w:rsid w:val="00867A04"/>
    <w:rsid w:val="00867B20"/>
    <w:rsid w:val="00867E11"/>
    <w:rsid w:val="0087002A"/>
    <w:rsid w:val="008706D4"/>
    <w:rsid w:val="00870750"/>
    <w:rsid w:val="00870F8A"/>
    <w:rsid w:val="008714E9"/>
    <w:rsid w:val="008719A4"/>
    <w:rsid w:val="00871D23"/>
    <w:rsid w:val="00871EC7"/>
    <w:rsid w:val="00872030"/>
    <w:rsid w:val="008725E6"/>
    <w:rsid w:val="00872616"/>
    <w:rsid w:val="00872F69"/>
    <w:rsid w:val="008734DA"/>
    <w:rsid w:val="00874312"/>
    <w:rsid w:val="0087437C"/>
    <w:rsid w:val="00874565"/>
    <w:rsid w:val="00874743"/>
    <w:rsid w:val="008747E1"/>
    <w:rsid w:val="008749B6"/>
    <w:rsid w:val="00875122"/>
    <w:rsid w:val="00875126"/>
    <w:rsid w:val="00875CD7"/>
    <w:rsid w:val="00876402"/>
    <w:rsid w:val="0087681D"/>
    <w:rsid w:val="00876B4D"/>
    <w:rsid w:val="00876F6F"/>
    <w:rsid w:val="008776A7"/>
    <w:rsid w:val="00877B86"/>
    <w:rsid w:val="00877BDC"/>
    <w:rsid w:val="00877DB0"/>
    <w:rsid w:val="00877F18"/>
    <w:rsid w:val="00880486"/>
    <w:rsid w:val="008811B4"/>
    <w:rsid w:val="00881378"/>
    <w:rsid w:val="00881851"/>
    <w:rsid w:val="00881879"/>
    <w:rsid w:val="0088189C"/>
    <w:rsid w:val="00881A29"/>
    <w:rsid w:val="00881B38"/>
    <w:rsid w:val="00882733"/>
    <w:rsid w:val="008833D0"/>
    <w:rsid w:val="0088393C"/>
    <w:rsid w:val="00883D6B"/>
    <w:rsid w:val="00884DC5"/>
    <w:rsid w:val="00884FBE"/>
    <w:rsid w:val="008903C6"/>
    <w:rsid w:val="00890498"/>
    <w:rsid w:val="0089053E"/>
    <w:rsid w:val="00891978"/>
    <w:rsid w:val="00891D39"/>
    <w:rsid w:val="008921ED"/>
    <w:rsid w:val="008925C7"/>
    <w:rsid w:val="008926DD"/>
    <w:rsid w:val="00893D03"/>
    <w:rsid w:val="00893D67"/>
    <w:rsid w:val="008944F1"/>
    <w:rsid w:val="00894A88"/>
    <w:rsid w:val="00895386"/>
    <w:rsid w:val="00896069"/>
    <w:rsid w:val="00896D45"/>
    <w:rsid w:val="00897A57"/>
    <w:rsid w:val="00897EEB"/>
    <w:rsid w:val="00897EF4"/>
    <w:rsid w:val="008A16EF"/>
    <w:rsid w:val="008A1717"/>
    <w:rsid w:val="008A1812"/>
    <w:rsid w:val="008A2111"/>
    <w:rsid w:val="008A21FF"/>
    <w:rsid w:val="008A2CE2"/>
    <w:rsid w:val="008A30AC"/>
    <w:rsid w:val="008A3ACD"/>
    <w:rsid w:val="008A44B8"/>
    <w:rsid w:val="008A4BBB"/>
    <w:rsid w:val="008A5128"/>
    <w:rsid w:val="008A51A8"/>
    <w:rsid w:val="008A541D"/>
    <w:rsid w:val="008A54C7"/>
    <w:rsid w:val="008A77D8"/>
    <w:rsid w:val="008A7806"/>
    <w:rsid w:val="008A7B39"/>
    <w:rsid w:val="008A7DA2"/>
    <w:rsid w:val="008B0483"/>
    <w:rsid w:val="008B0695"/>
    <w:rsid w:val="008B0D6E"/>
    <w:rsid w:val="008B120C"/>
    <w:rsid w:val="008B12E7"/>
    <w:rsid w:val="008B34B4"/>
    <w:rsid w:val="008B3916"/>
    <w:rsid w:val="008B39C9"/>
    <w:rsid w:val="008B512E"/>
    <w:rsid w:val="008B51A0"/>
    <w:rsid w:val="008B592A"/>
    <w:rsid w:val="008B59FF"/>
    <w:rsid w:val="008B6369"/>
    <w:rsid w:val="008B63ED"/>
    <w:rsid w:val="008B7B5C"/>
    <w:rsid w:val="008B7F82"/>
    <w:rsid w:val="008C0C99"/>
    <w:rsid w:val="008C10D0"/>
    <w:rsid w:val="008C18F8"/>
    <w:rsid w:val="008C2017"/>
    <w:rsid w:val="008C22B2"/>
    <w:rsid w:val="008C3CC5"/>
    <w:rsid w:val="008C3E44"/>
    <w:rsid w:val="008C4958"/>
    <w:rsid w:val="008C4BAA"/>
    <w:rsid w:val="008C5263"/>
    <w:rsid w:val="008C5543"/>
    <w:rsid w:val="008C60D0"/>
    <w:rsid w:val="008C6AE8"/>
    <w:rsid w:val="008C7268"/>
    <w:rsid w:val="008C7573"/>
    <w:rsid w:val="008C75D3"/>
    <w:rsid w:val="008C769E"/>
    <w:rsid w:val="008C7C7A"/>
    <w:rsid w:val="008D0475"/>
    <w:rsid w:val="008D10E5"/>
    <w:rsid w:val="008D284F"/>
    <w:rsid w:val="008D34F1"/>
    <w:rsid w:val="008D39D8"/>
    <w:rsid w:val="008D3E22"/>
    <w:rsid w:val="008D5ACA"/>
    <w:rsid w:val="008D5BB5"/>
    <w:rsid w:val="008D5D9C"/>
    <w:rsid w:val="008D6D1A"/>
    <w:rsid w:val="008D6F50"/>
    <w:rsid w:val="008D7D5B"/>
    <w:rsid w:val="008D7D7F"/>
    <w:rsid w:val="008E065E"/>
    <w:rsid w:val="008E0927"/>
    <w:rsid w:val="008E17E6"/>
    <w:rsid w:val="008E1909"/>
    <w:rsid w:val="008E2A39"/>
    <w:rsid w:val="008E2E18"/>
    <w:rsid w:val="008E36E0"/>
    <w:rsid w:val="008E4A3F"/>
    <w:rsid w:val="008E5210"/>
    <w:rsid w:val="008E596B"/>
    <w:rsid w:val="008E6B39"/>
    <w:rsid w:val="008E7760"/>
    <w:rsid w:val="008E78EE"/>
    <w:rsid w:val="008F0EA4"/>
    <w:rsid w:val="008F0EB6"/>
    <w:rsid w:val="008F1158"/>
    <w:rsid w:val="008F11C5"/>
    <w:rsid w:val="008F1202"/>
    <w:rsid w:val="008F1EAB"/>
    <w:rsid w:val="008F20F3"/>
    <w:rsid w:val="008F2766"/>
    <w:rsid w:val="008F2B37"/>
    <w:rsid w:val="008F2BE9"/>
    <w:rsid w:val="008F33DC"/>
    <w:rsid w:val="008F38FF"/>
    <w:rsid w:val="008F40DC"/>
    <w:rsid w:val="008F477F"/>
    <w:rsid w:val="008F6C3E"/>
    <w:rsid w:val="008F7255"/>
    <w:rsid w:val="00900E04"/>
    <w:rsid w:val="00901253"/>
    <w:rsid w:val="009016DC"/>
    <w:rsid w:val="009019C9"/>
    <w:rsid w:val="00902350"/>
    <w:rsid w:val="00903032"/>
    <w:rsid w:val="009032C4"/>
    <w:rsid w:val="0090336B"/>
    <w:rsid w:val="00903679"/>
    <w:rsid w:val="009038DA"/>
    <w:rsid w:val="009049C1"/>
    <w:rsid w:val="009053AA"/>
    <w:rsid w:val="00906939"/>
    <w:rsid w:val="00906B35"/>
    <w:rsid w:val="009101ED"/>
    <w:rsid w:val="009108AD"/>
    <w:rsid w:val="00910B7D"/>
    <w:rsid w:val="009111F8"/>
    <w:rsid w:val="009115DD"/>
    <w:rsid w:val="00911D8D"/>
    <w:rsid w:val="00911DFB"/>
    <w:rsid w:val="00913251"/>
    <w:rsid w:val="009137D2"/>
    <w:rsid w:val="009139D9"/>
    <w:rsid w:val="00913FD1"/>
    <w:rsid w:val="0091427A"/>
    <w:rsid w:val="00914AD8"/>
    <w:rsid w:val="009158BA"/>
    <w:rsid w:val="00915D85"/>
    <w:rsid w:val="0091605B"/>
    <w:rsid w:val="00916079"/>
    <w:rsid w:val="00917CE9"/>
    <w:rsid w:val="00920BF2"/>
    <w:rsid w:val="009214C9"/>
    <w:rsid w:val="00921F4A"/>
    <w:rsid w:val="00922010"/>
    <w:rsid w:val="009220ED"/>
    <w:rsid w:val="00922917"/>
    <w:rsid w:val="00922BBE"/>
    <w:rsid w:val="00923C7D"/>
    <w:rsid w:val="00926BD7"/>
    <w:rsid w:val="009273B4"/>
    <w:rsid w:val="0092755E"/>
    <w:rsid w:val="00927750"/>
    <w:rsid w:val="0092790A"/>
    <w:rsid w:val="00930130"/>
    <w:rsid w:val="00930534"/>
    <w:rsid w:val="009306DC"/>
    <w:rsid w:val="00930A89"/>
    <w:rsid w:val="00930D17"/>
    <w:rsid w:val="00931312"/>
    <w:rsid w:val="00931389"/>
    <w:rsid w:val="00931BD9"/>
    <w:rsid w:val="00932518"/>
    <w:rsid w:val="0093299A"/>
    <w:rsid w:val="00932B5F"/>
    <w:rsid w:val="00934EA8"/>
    <w:rsid w:val="00935634"/>
    <w:rsid w:val="00935C0A"/>
    <w:rsid w:val="00935E7A"/>
    <w:rsid w:val="009367A6"/>
    <w:rsid w:val="009368F3"/>
    <w:rsid w:val="00937CB3"/>
    <w:rsid w:val="0094007B"/>
    <w:rsid w:val="00940F0A"/>
    <w:rsid w:val="00941576"/>
    <w:rsid w:val="00941636"/>
    <w:rsid w:val="00942064"/>
    <w:rsid w:val="00943742"/>
    <w:rsid w:val="00943808"/>
    <w:rsid w:val="0094578B"/>
    <w:rsid w:val="00945C05"/>
    <w:rsid w:val="00946945"/>
    <w:rsid w:val="009476BD"/>
    <w:rsid w:val="00947713"/>
    <w:rsid w:val="00950054"/>
    <w:rsid w:val="00950DE7"/>
    <w:rsid w:val="0095236B"/>
    <w:rsid w:val="0095252B"/>
    <w:rsid w:val="0095278E"/>
    <w:rsid w:val="00952845"/>
    <w:rsid w:val="009538DF"/>
    <w:rsid w:val="00953920"/>
    <w:rsid w:val="00953D47"/>
    <w:rsid w:val="0095643B"/>
    <w:rsid w:val="00956515"/>
    <w:rsid w:val="0095681E"/>
    <w:rsid w:val="009570B3"/>
    <w:rsid w:val="009572D4"/>
    <w:rsid w:val="00957500"/>
    <w:rsid w:val="00960A87"/>
    <w:rsid w:val="00961849"/>
    <w:rsid w:val="00961921"/>
    <w:rsid w:val="00962839"/>
    <w:rsid w:val="009636E6"/>
    <w:rsid w:val="00963969"/>
    <w:rsid w:val="00964115"/>
    <w:rsid w:val="00964280"/>
    <w:rsid w:val="0096430A"/>
    <w:rsid w:val="0096554B"/>
    <w:rsid w:val="0096584A"/>
    <w:rsid w:val="00966AD4"/>
    <w:rsid w:val="00966DCE"/>
    <w:rsid w:val="00967F11"/>
    <w:rsid w:val="00970457"/>
    <w:rsid w:val="009707A1"/>
    <w:rsid w:val="00970ACA"/>
    <w:rsid w:val="00971061"/>
    <w:rsid w:val="0097165B"/>
    <w:rsid w:val="00971F08"/>
    <w:rsid w:val="00972333"/>
    <w:rsid w:val="00972853"/>
    <w:rsid w:val="00974289"/>
    <w:rsid w:val="0097544D"/>
    <w:rsid w:val="009755A6"/>
    <w:rsid w:val="0097603D"/>
    <w:rsid w:val="0097661E"/>
    <w:rsid w:val="00976949"/>
    <w:rsid w:val="00976AA0"/>
    <w:rsid w:val="00976C38"/>
    <w:rsid w:val="00976CDD"/>
    <w:rsid w:val="00977A2E"/>
    <w:rsid w:val="00980477"/>
    <w:rsid w:val="00980BE2"/>
    <w:rsid w:val="009824E8"/>
    <w:rsid w:val="00982568"/>
    <w:rsid w:val="00982C60"/>
    <w:rsid w:val="00982CF7"/>
    <w:rsid w:val="0098368F"/>
    <w:rsid w:val="009841DB"/>
    <w:rsid w:val="0098441F"/>
    <w:rsid w:val="00985253"/>
    <w:rsid w:val="009853B3"/>
    <w:rsid w:val="00986849"/>
    <w:rsid w:val="00986AD1"/>
    <w:rsid w:val="00987DC5"/>
    <w:rsid w:val="00990630"/>
    <w:rsid w:val="00990C06"/>
    <w:rsid w:val="00991761"/>
    <w:rsid w:val="009923CD"/>
    <w:rsid w:val="00993AB8"/>
    <w:rsid w:val="00993AC5"/>
    <w:rsid w:val="00993B3C"/>
    <w:rsid w:val="00994DCA"/>
    <w:rsid w:val="00995D1C"/>
    <w:rsid w:val="009960EC"/>
    <w:rsid w:val="00996169"/>
    <w:rsid w:val="009964D7"/>
    <w:rsid w:val="009966BF"/>
    <w:rsid w:val="00996FE8"/>
    <w:rsid w:val="009970DD"/>
    <w:rsid w:val="00997240"/>
    <w:rsid w:val="00997443"/>
    <w:rsid w:val="009A04D8"/>
    <w:rsid w:val="009A0FBA"/>
    <w:rsid w:val="009A1601"/>
    <w:rsid w:val="009A16A0"/>
    <w:rsid w:val="009A1B30"/>
    <w:rsid w:val="009A2111"/>
    <w:rsid w:val="009A462D"/>
    <w:rsid w:val="009A4D86"/>
    <w:rsid w:val="009A56E1"/>
    <w:rsid w:val="009A5CBA"/>
    <w:rsid w:val="009A6127"/>
    <w:rsid w:val="009A6BCA"/>
    <w:rsid w:val="009A7304"/>
    <w:rsid w:val="009A76E2"/>
    <w:rsid w:val="009A794E"/>
    <w:rsid w:val="009A7958"/>
    <w:rsid w:val="009A7C0B"/>
    <w:rsid w:val="009B0A7D"/>
    <w:rsid w:val="009B1B39"/>
    <w:rsid w:val="009B1DC1"/>
    <w:rsid w:val="009B1F30"/>
    <w:rsid w:val="009B318A"/>
    <w:rsid w:val="009B3AC2"/>
    <w:rsid w:val="009B4155"/>
    <w:rsid w:val="009B443E"/>
    <w:rsid w:val="009B4B07"/>
    <w:rsid w:val="009B4DF4"/>
    <w:rsid w:val="009B564E"/>
    <w:rsid w:val="009B5960"/>
    <w:rsid w:val="009B5BB6"/>
    <w:rsid w:val="009B64E5"/>
    <w:rsid w:val="009B66C2"/>
    <w:rsid w:val="009B69C8"/>
    <w:rsid w:val="009B7E87"/>
    <w:rsid w:val="009C0F06"/>
    <w:rsid w:val="009C2615"/>
    <w:rsid w:val="009C3902"/>
    <w:rsid w:val="009C3A59"/>
    <w:rsid w:val="009C3ED6"/>
    <w:rsid w:val="009C403E"/>
    <w:rsid w:val="009C420C"/>
    <w:rsid w:val="009C43C3"/>
    <w:rsid w:val="009C6BF4"/>
    <w:rsid w:val="009D1764"/>
    <w:rsid w:val="009D18D3"/>
    <w:rsid w:val="009D1F23"/>
    <w:rsid w:val="009D219C"/>
    <w:rsid w:val="009D21AE"/>
    <w:rsid w:val="009D2DB9"/>
    <w:rsid w:val="009D3DA2"/>
    <w:rsid w:val="009D428C"/>
    <w:rsid w:val="009D4FF0"/>
    <w:rsid w:val="009D5954"/>
    <w:rsid w:val="009D5A82"/>
    <w:rsid w:val="009D64F0"/>
    <w:rsid w:val="009D6575"/>
    <w:rsid w:val="009D669F"/>
    <w:rsid w:val="009D6C4D"/>
    <w:rsid w:val="009D6D0E"/>
    <w:rsid w:val="009D703C"/>
    <w:rsid w:val="009D7043"/>
    <w:rsid w:val="009D718F"/>
    <w:rsid w:val="009D7664"/>
    <w:rsid w:val="009D7743"/>
    <w:rsid w:val="009D7FE4"/>
    <w:rsid w:val="009E0071"/>
    <w:rsid w:val="009E068F"/>
    <w:rsid w:val="009E14E0"/>
    <w:rsid w:val="009E35DB"/>
    <w:rsid w:val="009E3705"/>
    <w:rsid w:val="009E3C40"/>
    <w:rsid w:val="009E47A3"/>
    <w:rsid w:val="009E47EB"/>
    <w:rsid w:val="009E5285"/>
    <w:rsid w:val="009E5302"/>
    <w:rsid w:val="009E58F8"/>
    <w:rsid w:val="009E6F26"/>
    <w:rsid w:val="009F0646"/>
    <w:rsid w:val="009F08F3"/>
    <w:rsid w:val="009F0A0B"/>
    <w:rsid w:val="009F1431"/>
    <w:rsid w:val="009F1FB6"/>
    <w:rsid w:val="009F21E7"/>
    <w:rsid w:val="009F344F"/>
    <w:rsid w:val="009F35B4"/>
    <w:rsid w:val="009F4192"/>
    <w:rsid w:val="009F4556"/>
    <w:rsid w:val="009F64AA"/>
    <w:rsid w:val="009F7207"/>
    <w:rsid w:val="00A001FE"/>
    <w:rsid w:val="00A00F39"/>
    <w:rsid w:val="00A01102"/>
    <w:rsid w:val="00A01400"/>
    <w:rsid w:val="00A0284B"/>
    <w:rsid w:val="00A028ED"/>
    <w:rsid w:val="00A03216"/>
    <w:rsid w:val="00A039A0"/>
    <w:rsid w:val="00A03EA7"/>
    <w:rsid w:val="00A048A8"/>
    <w:rsid w:val="00A04EBE"/>
    <w:rsid w:val="00A04F49"/>
    <w:rsid w:val="00A06BFD"/>
    <w:rsid w:val="00A071AD"/>
    <w:rsid w:val="00A075EA"/>
    <w:rsid w:val="00A07C9B"/>
    <w:rsid w:val="00A13E54"/>
    <w:rsid w:val="00A14555"/>
    <w:rsid w:val="00A1488D"/>
    <w:rsid w:val="00A1506E"/>
    <w:rsid w:val="00A1642D"/>
    <w:rsid w:val="00A17F63"/>
    <w:rsid w:val="00A200B3"/>
    <w:rsid w:val="00A212CA"/>
    <w:rsid w:val="00A217E7"/>
    <w:rsid w:val="00A2193B"/>
    <w:rsid w:val="00A222D5"/>
    <w:rsid w:val="00A22AA0"/>
    <w:rsid w:val="00A2320C"/>
    <w:rsid w:val="00A2351A"/>
    <w:rsid w:val="00A23A19"/>
    <w:rsid w:val="00A23B28"/>
    <w:rsid w:val="00A248FA"/>
    <w:rsid w:val="00A25615"/>
    <w:rsid w:val="00A2565C"/>
    <w:rsid w:val="00A2569B"/>
    <w:rsid w:val="00A2612F"/>
    <w:rsid w:val="00A26267"/>
    <w:rsid w:val="00A264A9"/>
    <w:rsid w:val="00A27298"/>
    <w:rsid w:val="00A27785"/>
    <w:rsid w:val="00A277FF"/>
    <w:rsid w:val="00A30187"/>
    <w:rsid w:val="00A3448A"/>
    <w:rsid w:val="00A34631"/>
    <w:rsid w:val="00A34A39"/>
    <w:rsid w:val="00A356E1"/>
    <w:rsid w:val="00A35D21"/>
    <w:rsid w:val="00A36297"/>
    <w:rsid w:val="00A3642C"/>
    <w:rsid w:val="00A36950"/>
    <w:rsid w:val="00A371A5"/>
    <w:rsid w:val="00A37553"/>
    <w:rsid w:val="00A37A23"/>
    <w:rsid w:val="00A406C6"/>
    <w:rsid w:val="00A4134B"/>
    <w:rsid w:val="00A41E2B"/>
    <w:rsid w:val="00A4231B"/>
    <w:rsid w:val="00A42E9C"/>
    <w:rsid w:val="00A4311E"/>
    <w:rsid w:val="00A437AE"/>
    <w:rsid w:val="00A43DE8"/>
    <w:rsid w:val="00A443B0"/>
    <w:rsid w:val="00A447A5"/>
    <w:rsid w:val="00A44883"/>
    <w:rsid w:val="00A451DE"/>
    <w:rsid w:val="00A457F4"/>
    <w:rsid w:val="00A45B74"/>
    <w:rsid w:val="00A463A6"/>
    <w:rsid w:val="00A46482"/>
    <w:rsid w:val="00A471C3"/>
    <w:rsid w:val="00A50C54"/>
    <w:rsid w:val="00A50FA0"/>
    <w:rsid w:val="00A50FC8"/>
    <w:rsid w:val="00A510D0"/>
    <w:rsid w:val="00A512EF"/>
    <w:rsid w:val="00A513F9"/>
    <w:rsid w:val="00A51425"/>
    <w:rsid w:val="00A5184F"/>
    <w:rsid w:val="00A519D5"/>
    <w:rsid w:val="00A51CC7"/>
    <w:rsid w:val="00A52E1D"/>
    <w:rsid w:val="00A532A2"/>
    <w:rsid w:val="00A5361C"/>
    <w:rsid w:val="00A55BA2"/>
    <w:rsid w:val="00A56C65"/>
    <w:rsid w:val="00A57172"/>
    <w:rsid w:val="00A60FE2"/>
    <w:rsid w:val="00A61499"/>
    <w:rsid w:val="00A62149"/>
    <w:rsid w:val="00A62260"/>
    <w:rsid w:val="00A62A77"/>
    <w:rsid w:val="00A6327D"/>
    <w:rsid w:val="00A63483"/>
    <w:rsid w:val="00A637D4"/>
    <w:rsid w:val="00A6475E"/>
    <w:rsid w:val="00A657D7"/>
    <w:rsid w:val="00A65F7B"/>
    <w:rsid w:val="00A660AC"/>
    <w:rsid w:val="00A66B44"/>
    <w:rsid w:val="00A66C31"/>
    <w:rsid w:val="00A66D45"/>
    <w:rsid w:val="00A67818"/>
    <w:rsid w:val="00A67CE7"/>
    <w:rsid w:val="00A67E6C"/>
    <w:rsid w:val="00A7022C"/>
    <w:rsid w:val="00A705D7"/>
    <w:rsid w:val="00A71B99"/>
    <w:rsid w:val="00A72576"/>
    <w:rsid w:val="00A72A8E"/>
    <w:rsid w:val="00A739D0"/>
    <w:rsid w:val="00A74CD2"/>
    <w:rsid w:val="00A74DDC"/>
    <w:rsid w:val="00A74FE5"/>
    <w:rsid w:val="00A7533F"/>
    <w:rsid w:val="00A759C4"/>
    <w:rsid w:val="00A761D4"/>
    <w:rsid w:val="00A7626E"/>
    <w:rsid w:val="00A770A8"/>
    <w:rsid w:val="00A77EC4"/>
    <w:rsid w:val="00A804A4"/>
    <w:rsid w:val="00A8150D"/>
    <w:rsid w:val="00A8235A"/>
    <w:rsid w:val="00A82E99"/>
    <w:rsid w:val="00A82FEA"/>
    <w:rsid w:val="00A845C0"/>
    <w:rsid w:val="00A84633"/>
    <w:rsid w:val="00A84BC4"/>
    <w:rsid w:val="00A8686B"/>
    <w:rsid w:val="00A868DA"/>
    <w:rsid w:val="00A86AD6"/>
    <w:rsid w:val="00A86C39"/>
    <w:rsid w:val="00A87592"/>
    <w:rsid w:val="00A87FB0"/>
    <w:rsid w:val="00A9013E"/>
    <w:rsid w:val="00A92156"/>
    <w:rsid w:val="00A92719"/>
    <w:rsid w:val="00A92879"/>
    <w:rsid w:val="00A92A6B"/>
    <w:rsid w:val="00A92DC0"/>
    <w:rsid w:val="00A933B4"/>
    <w:rsid w:val="00A94052"/>
    <w:rsid w:val="00A94299"/>
    <w:rsid w:val="00A9442A"/>
    <w:rsid w:val="00A9563C"/>
    <w:rsid w:val="00A95AA7"/>
    <w:rsid w:val="00A9601F"/>
    <w:rsid w:val="00A96AE7"/>
    <w:rsid w:val="00A9775E"/>
    <w:rsid w:val="00A97772"/>
    <w:rsid w:val="00AA0001"/>
    <w:rsid w:val="00AA016F"/>
    <w:rsid w:val="00AA0CD9"/>
    <w:rsid w:val="00AA1ED6"/>
    <w:rsid w:val="00AA26B7"/>
    <w:rsid w:val="00AA2AA7"/>
    <w:rsid w:val="00AA2FB3"/>
    <w:rsid w:val="00AA380B"/>
    <w:rsid w:val="00AA3DE2"/>
    <w:rsid w:val="00AA42A2"/>
    <w:rsid w:val="00AA51D6"/>
    <w:rsid w:val="00AA5812"/>
    <w:rsid w:val="00AA6711"/>
    <w:rsid w:val="00AA6C50"/>
    <w:rsid w:val="00AA72AF"/>
    <w:rsid w:val="00AA7B3C"/>
    <w:rsid w:val="00AB072A"/>
    <w:rsid w:val="00AB08A1"/>
    <w:rsid w:val="00AB0BC8"/>
    <w:rsid w:val="00AB101D"/>
    <w:rsid w:val="00AB11CA"/>
    <w:rsid w:val="00AB12D8"/>
    <w:rsid w:val="00AB14D9"/>
    <w:rsid w:val="00AB167E"/>
    <w:rsid w:val="00AB20EF"/>
    <w:rsid w:val="00AB2307"/>
    <w:rsid w:val="00AB2A83"/>
    <w:rsid w:val="00AB2AFF"/>
    <w:rsid w:val="00AB4183"/>
    <w:rsid w:val="00AB420E"/>
    <w:rsid w:val="00AB431C"/>
    <w:rsid w:val="00AB4AB8"/>
    <w:rsid w:val="00AB4C01"/>
    <w:rsid w:val="00AB5A1A"/>
    <w:rsid w:val="00AB5CBA"/>
    <w:rsid w:val="00AB6446"/>
    <w:rsid w:val="00AB655E"/>
    <w:rsid w:val="00AB6952"/>
    <w:rsid w:val="00AB6ABF"/>
    <w:rsid w:val="00AB6CC7"/>
    <w:rsid w:val="00AB6E1E"/>
    <w:rsid w:val="00AB7269"/>
    <w:rsid w:val="00AC007F"/>
    <w:rsid w:val="00AC02B7"/>
    <w:rsid w:val="00AC0ADD"/>
    <w:rsid w:val="00AC0C50"/>
    <w:rsid w:val="00AC2035"/>
    <w:rsid w:val="00AC221C"/>
    <w:rsid w:val="00AC23D1"/>
    <w:rsid w:val="00AC2ECD"/>
    <w:rsid w:val="00AC3119"/>
    <w:rsid w:val="00AC3852"/>
    <w:rsid w:val="00AC49FB"/>
    <w:rsid w:val="00AC50E1"/>
    <w:rsid w:val="00AC526C"/>
    <w:rsid w:val="00AC5A10"/>
    <w:rsid w:val="00AC60C1"/>
    <w:rsid w:val="00AC7341"/>
    <w:rsid w:val="00AC758D"/>
    <w:rsid w:val="00AC7D0E"/>
    <w:rsid w:val="00AD0AA3"/>
    <w:rsid w:val="00AD0CF0"/>
    <w:rsid w:val="00AD1DDA"/>
    <w:rsid w:val="00AD1E31"/>
    <w:rsid w:val="00AD1EC5"/>
    <w:rsid w:val="00AD2410"/>
    <w:rsid w:val="00AD283A"/>
    <w:rsid w:val="00AD3216"/>
    <w:rsid w:val="00AD34EE"/>
    <w:rsid w:val="00AD3519"/>
    <w:rsid w:val="00AD3F94"/>
    <w:rsid w:val="00AD40D8"/>
    <w:rsid w:val="00AD451A"/>
    <w:rsid w:val="00AD4A5A"/>
    <w:rsid w:val="00AD56E0"/>
    <w:rsid w:val="00AD6296"/>
    <w:rsid w:val="00AD6538"/>
    <w:rsid w:val="00AD784B"/>
    <w:rsid w:val="00AE002A"/>
    <w:rsid w:val="00AE128E"/>
    <w:rsid w:val="00AE13B8"/>
    <w:rsid w:val="00AE19A8"/>
    <w:rsid w:val="00AE27A5"/>
    <w:rsid w:val="00AE27AC"/>
    <w:rsid w:val="00AE2834"/>
    <w:rsid w:val="00AE2DE1"/>
    <w:rsid w:val="00AE3C65"/>
    <w:rsid w:val="00AE40E0"/>
    <w:rsid w:val="00AE4C63"/>
    <w:rsid w:val="00AE4DBA"/>
    <w:rsid w:val="00AE4F07"/>
    <w:rsid w:val="00AE55A0"/>
    <w:rsid w:val="00AE5B7F"/>
    <w:rsid w:val="00AE5F10"/>
    <w:rsid w:val="00AE6333"/>
    <w:rsid w:val="00AE6C6D"/>
    <w:rsid w:val="00AF09CB"/>
    <w:rsid w:val="00AF194B"/>
    <w:rsid w:val="00AF1C5D"/>
    <w:rsid w:val="00AF2463"/>
    <w:rsid w:val="00AF3197"/>
    <w:rsid w:val="00AF33B6"/>
    <w:rsid w:val="00AF38EC"/>
    <w:rsid w:val="00AF42D7"/>
    <w:rsid w:val="00AF55D3"/>
    <w:rsid w:val="00AF56AF"/>
    <w:rsid w:val="00B006FE"/>
    <w:rsid w:val="00B007CB"/>
    <w:rsid w:val="00B0098A"/>
    <w:rsid w:val="00B00A97"/>
    <w:rsid w:val="00B02AA9"/>
    <w:rsid w:val="00B02F11"/>
    <w:rsid w:val="00B02FA3"/>
    <w:rsid w:val="00B0481F"/>
    <w:rsid w:val="00B05084"/>
    <w:rsid w:val="00B05477"/>
    <w:rsid w:val="00B05709"/>
    <w:rsid w:val="00B059E5"/>
    <w:rsid w:val="00B06459"/>
    <w:rsid w:val="00B06E0D"/>
    <w:rsid w:val="00B07456"/>
    <w:rsid w:val="00B10321"/>
    <w:rsid w:val="00B108F6"/>
    <w:rsid w:val="00B109C8"/>
    <w:rsid w:val="00B10C00"/>
    <w:rsid w:val="00B11360"/>
    <w:rsid w:val="00B11A50"/>
    <w:rsid w:val="00B12A08"/>
    <w:rsid w:val="00B13045"/>
    <w:rsid w:val="00B131F3"/>
    <w:rsid w:val="00B13B8D"/>
    <w:rsid w:val="00B13D27"/>
    <w:rsid w:val="00B13EE6"/>
    <w:rsid w:val="00B147DD"/>
    <w:rsid w:val="00B152C5"/>
    <w:rsid w:val="00B157F9"/>
    <w:rsid w:val="00B16987"/>
    <w:rsid w:val="00B16FC2"/>
    <w:rsid w:val="00B1721D"/>
    <w:rsid w:val="00B172DE"/>
    <w:rsid w:val="00B17648"/>
    <w:rsid w:val="00B17A06"/>
    <w:rsid w:val="00B20256"/>
    <w:rsid w:val="00B2090E"/>
    <w:rsid w:val="00B20D09"/>
    <w:rsid w:val="00B21A64"/>
    <w:rsid w:val="00B22450"/>
    <w:rsid w:val="00B22CEC"/>
    <w:rsid w:val="00B2358E"/>
    <w:rsid w:val="00B2375E"/>
    <w:rsid w:val="00B23C56"/>
    <w:rsid w:val="00B240C2"/>
    <w:rsid w:val="00B24257"/>
    <w:rsid w:val="00B2441E"/>
    <w:rsid w:val="00B251B6"/>
    <w:rsid w:val="00B268F8"/>
    <w:rsid w:val="00B2763F"/>
    <w:rsid w:val="00B27AAC"/>
    <w:rsid w:val="00B304F3"/>
    <w:rsid w:val="00B30929"/>
    <w:rsid w:val="00B30A74"/>
    <w:rsid w:val="00B30BD2"/>
    <w:rsid w:val="00B31051"/>
    <w:rsid w:val="00B31176"/>
    <w:rsid w:val="00B31367"/>
    <w:rsid w:val="00B31844"/>
    <w:rsid w:val="00B31928"/>
    <w:rsid w:val="00B31A27"/>
    <w:rsid w:val="00B31A8E"/>
    <w:rsid w:val="00B32C03"/>
    <w:rsid w:val="00B33B92"/>
    <w:rsid w:val="00B342AD"/>
    <w:rsid w:val="00B3615D"/>
    <w:rsid w:val="00B3658B"/>
    <w:rsid w:val="00B372AA"/>
    <w:rsid w:val="00B3774B"/>
    <w:rsid w:val="00B40445"/>
    <w:rsid w:val="00B405D9"/>
    <w:rsid w:val="00B408FF"/>
    <w:rsid w:val="00B40BEF"/>
    <w:rsid w:val="00B41888"/>
    <w:rsid w:val="00B41AF1"/>
    <w:rsid w:val="00B42A71"/>
    <w:rsid w:val="00B42A92"/>
    <w:rsid w:val="00B458EF"/>
    <w:rsid w:val="00B45A52"/>
    <w:rsid w:val="00B46175"/>
    <w:rsid w:val="00B506A2"/>
    <w:rsid w:val="00B517C6"/>
    <w:rsid w:val="00B51B91"/>
    <w:rsid w:val="00B51DE9"/>
    <w:rsid w:val="00B5392B"/>
    <w:rsid w:val="00B5440A"/>
    <w:rsid w:val="00B548F1"/>
    <w:rsid w:val="00B54DCF"/>
    <w:rsid w:val="00B5529F"/>
    <w:rsid w:val="00B574E1"/>
    <w:rsid w:val="00B57886"/>
    <w:rsid w:val="00B57F7E"/>
    <w:rsid w:val="00B60ED0"/>
    <w:rsid w:val="00B611BA"/>
    <w:rsid w:val="00B6188F"/>
    <w:rsid w:val="00B63B96"/>
    <w:rsid w:val="00B6443B"/>
    <w:rsid w:val="00B651D1"/>
    <w:rsid w:val="00B6613E"/>
    <w:rsid w:val="00B664C7"/>
    <w:rsid w:val="00B66B2F"/>
    <w:rsid w:val="00B7039F"/>
    <w:rsid w:val="00B70CF8"/>
    <w:rsid w:val="00B70EA6"/>
    <w:rsid w:val="00B710ED"/>
    <w:rsid w:val="00B714D6"/>
    <w:rsid w:val="00B723D1"/>
    <w:rsid w:val="00B739F6"/>
    <w:rsid w:val="00B73EC9"/>
    <w:rsid w:val="00B74FA4"/>
    <w:rsid w:val="00B75F96"/>
    <w:rsid w:val="00B7649B"/>
    <w:rsid w:val="00B768BD"/>
    <w:rsid w:val="00B77576"/>
    <w:rsid w:val="00B7767B"/>
    <w:rsid w:val="00B77AF3"/>
    <w:rsid w:val="00B77E3C"/>
    <w:rsid w:val="00B8053A"/>
    <w:rsid w:val="00B80A75"/>
    <w:rsid w:val="00B81A6C"/>
    <w:rsid w:val="00B8243D"/>
    <w:rsid w:val="00B8293F"/>
    <w:rsid w:val="00B835C1"/>
    <w:rsid w:val="00B84E1E"/>
    <w:rsid w:val="00B8585A"/>
    <w:rsid w:val="00B85DE5"/>
    <w:rsid w:val="00B85FAF"/>
    <w:rsid w:val="00B868C8"/>
    <w:rsid w:val="00B87D59"/>
    <w:rsid w:val="00B9070B"/>
    <w:rsid w:val="00B9075C"/>
    <w:rsid w:val="00B909BE"/>
    <w:rsid w:val="00B90F73"/>
    <w:rsid w:val="00B917C3"/>
    <w:rsid w:val="00B9282F"/>
    <w:rsid w:val="00B928D0"/>
    <w:rsid w:val="00B93B59"/>
    <w:rsid w:val="00B9406A"/>
    <w:rsid w:val="00B942A7"/>
    <w:rsid w:val="00B944AC"/>
    <w:rsid w:val="00B954A0"/>
    <w:rsid w:val="00B95AAC"/>
    <w:rsid w:val="00B964A8"/>
    <w:rsid w:val="00B9656E"/>
    <w:rsid w:val="00B97752"/>
    <w:rsid w:val="00BA0067"/>
    <w:rsid w:val="00BA0818"/>
    <w:rsid w:val="00BA0A86"/>
    <w:rsid w:val="00BA0E3B"/>
    <w:rsid w:val="00BA13D2"/>
    <w:rsid w:val="00BA1D89"/>
    <w:rsid w:val="00BA2280"/>
    <w:rsid w:val="00BA2A08"/>
    <w:rsid w:val="00BA484E"/>
    <w:rsid w:val="00BA56D2"/>
    <w:rsid w:val="00BA5F16"/>
    <w:rsid w:val="00BA714A"/>
    <w:rsid w:val="00BA7540"/>
    <w:rsid w:val="00BA76E0"/>
    <w:rsid w:val="00BB0F85"/>
    <w:rsid w:val="00BB283E"/>
    <w:rsid w:val="00BB2A25"/>
    <w:rsid w:val="00BB2E70"/>
    <w:rsid w:val="00BB33DF"/>
    <w:rsid w:val="00BB3FC8"/>
    <w:rsid w:val="00BB4316"/>
    <w:rsid w:val="00BB5182"/>
    <w:rsid w:val="00BB51E9"/>
    <w:rsid w:val="00BB560E"/>
    <w:rsid w:val="00BB5BBB"/>
    <w:rsid w:val="00BB5BBD"/>
    <w:rsid w:val="00BB5D0D"/>
    <w:rsid w:val="00BB6360"/>
    <w:rsid w:val="00BB7231"/>
    <w:rsid w:val="00BB725D"/>
    <w:rsid w:val="00BC0B2A"/>
    <w:rsid w:val="00BC0E71"/>
    <w:rsid w:val="00BC0FDC"/>
    <w:rsid w:val="00BC1700"/>
    <w:rsid w:val="00BC1E67"/>
    <w:rsid w:val="00BC28DF"/>
    <w:rsid w:val="00BC29D3"/>
    <w:rsid w:val="00BC3053"/>
    <w:rsid w:val="00BC3794"/>
    <w:rsid w:val="00BC4D2E"/>
    <w:rsid w:val="00BC4E43"/>
    <w:rsid w:val="00BC6B50"/>
    <w:rsid w:val="00BC6CCB"/>
    <w:rsid w:val="00BC749C"/>
    <w:rsid w:val="00BD0106"/>
    <w:rsid w:val="00BD0222"/>
    <w:rsid w:val="00BD12C3"/>
    <w:rsid w:val="00BD2279"/>
    <w:rsid w:val="00BD22B1"/>
    <w:rsid w:val="00BD2557"/>
    <w:rsid w:val="00BD2CF5"/>
    <w:rsid w:val="00BD48AC"/>
    <w:rsid w:val="00BD4ADF"/>
    <w:rsid w:val="00BD5F1A"/>
    <w:rsid w:val="00BD677F"/>
    <w:rsid w:val="00BD7BE3"/>
    <w:rsid w:val="00BE0622"/>
    <w:rsid w:val="00BE0DB2"/>
    <w:rsid w:val="00BE0DD7"/>
    <w:rsid w:val="00BE1234"/>
    <w:rsid w:val="00BE16AD"/>
    <w:rsid w:val="00BE1C2D"/>
    <w:rsid w:val="00BE21B7"/>
    <w:rsid w:val="00BE2299"/>
    <w:rsid w:val="00BE2FA6"/>
    <w:rsid w:val="00BE333F"/>
    <w:rsid w:val="00BE3CF3"/>
    <w:rsid w:val="00BE3E64"/>
    <w:rsid w:val="00BE50B4"/>
    <w:rsid w:val="00BE603F"/>
    <w:rsid w:val="00BE6C36"/>
    <w:rsid w:val="00BE7406"/>
    <w:rsid w:val="00BE7603"/>
    <w:rsid w:val="00BF08A0"/>
    <w:rsid w:val="00BF11A4"/>
    <w:rsid w:val="00BF1A4F"/>
    <w:rsid w:val="00BF2DA6"/>
    <w:rsid w:val="00BF3279"/>
    <w:rsid w:val="00BF35AF"/>
    <w:rsid w:val="00BF53BB"/>
    <w:rsid w:val="00BF55A5"/>
    <w:rsid w:val="00BF5D67"/>
    <w:rsid w:val="00BF6EA6"/>
    <w:rsid w:val="00BF74C7"/>
    <w:rsid w:val="00BF7A4F"/>
    <w:rsid w:val="00BF7D5A"/>
    <w:rsid w:val="00C004AD"/>
    <w:rsid w:val="00C015F1"/>
    <w:rsid w:val="00C01868"/>
    <w:rsid w:val="00C01F33"/>
    <w:rsid w:val="00C02CC6"/>
    <w:rsid w:val="00C02FAF"/>
    <w:rsid w:val="00C0344E"/>
    <w:rsid w:val="00C0364A"/>
    <w:rsid w:val="00C040F7"/>
    <w:rsid w:val="00C041B0"/>
    <w:rsid w:val="00C044AB"/>
    <w:rsid w:val="00C044E0"/>
    <w:rsid w:val="00C04FC3"/>
    <w:rsid w:val="00C05551"/>
    <w:rsid w:val="00C05706"/>
    <w:rsid w:val="00C0614D"/>
    <w:rsid w:val="00C07377"/>
    <w:rsid w:val="00C10478"/>
    <w:rsid w:val="00C105C6"/>
    <w:rsid w:val="00C10E58"/>
    <w:rsid w:val="00C113FD"/>
    <w:rsid w:val="00C1155B"/>
    <w:rsid w:val="00C118EE"/>
    <w:rsid w:val="00C11B2A"/>
    <w:rsid w:val="00C12107"/>
    <w:rsid w:val="00C12877"/>
    <w:rsid w:val="00C12949"/>
    <w:rsid w:val="00C1301B"/>
    <w:rsid w:val="00C148F9"/>
    <w:rsid w:val="00C14C0C"/>
    <w:rsid w:val="00C14D4B"/>
    <w:rsid w:val="00C154BB"/>
    <w:rsid w:val="00C16000"/>
    <w:rsid w:val="00C1613A"/>
    <w:rsid w:val="00C165EF"/>
    <w:rsid w:val="00C1751F"/>
    <w:rsid w:val="00C17A6B"/>
    <w:rsid w:val="00C20500"/>
    <w:rsid w:val="00C20856"/>
    <w:rsid w:val="00C211B1"/>
    <w:rsid w:val="00C237B7"/>
    <w:rsid w:val="00C23E4E"/>
    <w:rsid w:val="00C23E55"/>
    <w:rsid w:val="00C23E8E"/>
    <w:rsid w:val="00C2445D"/>
    <w:rsid w:val="00C24F4B"/>
    <w:rsid w:val="00C273EC"/>
    <w:rsid w:val="00C279B5"/>
    <w:rsid w:val="00C27C45"/>
    <w:rsid w:val="00C304D8"/>
    <w:rsid w:val="00C30D15"/>
    <w:rsid w:val="00C32138"/>
    <w:rsid w:val="00C323F8"/>
    <w:rsid w:val="00C328E9"/>
    <w:rsid w:val="00C3328B"/>
    <w:rsid w:val="00C34289"/>
    <w:rsid w:val="00C344E1"/>
    <w:rsid w:val="00C349BF"/>
    <w:rsid w:val="00C35108"/>
    <w:rsid w:val="00C351B3"/>
    <w:rsid w:val="00C35341"/>
    <w:rsid w:val="00C3682C"/>
    <w:rsid w:val="00C36D1B"/>
    <w:rsid w:val="00C3719D"/>
    <w:rsid w:val="00C377FB"/>
    <w:rsid w:val="00C40E7F"/>
    <w:rsid w:val="00C41728"/>
    <w:rsid w:val="00C4220C"/>
    <w:rsid w:val="00C42CD4"/>
    <w:rsid w:val="00C45103"/>
    <w:rsid w:val="00C46035"/>
    <w:rsid w:val="00C46529"/>
    <w:rsid w:val="00C46BD8"/>
    <w:rsid w:val="00C4740E"/>
    <w:rsid w:val="00C4799A"/>
    <w:rsid w:val="00C503C8"/>
    <w:rsid w:val="00C51405"/>
    <w:rsid w:val="00C51B41"/>
    <w:rsid w:val="00C5290E"/>
    <w:rsid w:val="00C535F2"/>
    <w:rsid w:val="00C54548"/>
    <w:rsid w:val="00C54995"/>
    <w:rsid w:val="00C54D41"/>
    <w:rsid w:val="00C550A2"/>
    <w:rsid w:val="00C55BA9"/>
    <w:rsid w:val="00C55BE5"/>
    <w:rsid w:val="00C56740"/>
    <w:rsid w:val="00C57D01"/>
    <w:rsid w:val="00C60783"/>
    <w:rsid w:val="00C60D0B"/>
    <w:rsid w:val="00C626B4"/>
    <w:rsid w:val="00C62A41"/>
    <w:rsid w:val="00C62A85"/>
    <w:rsid w:val="00C630E1"/>
    <w:rsid w:val="00C631E7"/>
    <w:rsid w:val="00C6421C"/>
    <w:rsid w:val="00C64672"/>
    <w:rsid w:val="00C64790"/>
    <w:rsid w:val="00C64C5D"/>
    <w:rsid w:val="00C65913"/>
    <w:rsid w:val="00C66489"/>
    <w:rsid w:val="00C70697"/>
    <w:rsid w:val="00C706F8"/>
    <w:rsid w:val="00C707B1"/>
    <w:rsid w:val="00C71A67"/>
    <w:rsid w:val="00C72C5B"/>
    <w:rsid w:val="00C72EF4"/>
    <w:rsid w:val="00C732D1"/>
    <w:rsid w:val="00C73384"/>
    <w:rsid w:val="00C73717"/>
    <w:rsid w:val="00C7412B"/>
    <w:rsid w:val="00C7454A"/>
    <w:rsid w:val="00C746A8"/>
    <w:rsid w:val="00C7556D"/>
    <w:rsid w:val="00C75D2F"/>
    <w:rsid w:val="00C767BE"/>
    <w:rsid w:val="00C76A22"/>
    <w:rsid w:val="00C76ADB"/>
    <w:rsid w:val="00C76E3C"/>
    <w:rsid w:val="00C7796C"/>
    <w:rsid w:val="00C80511"/>
    <w:rsid w:val="00C810A3"/>
    <w:rsid w:val="00C81568"/>
    <w:rsid w:val="00C81F93"/>
    <w:rsid w:val="00C83AC7"/>
    <w:rsid w:val="00C843B7"/>
    <w:rsid w:val="00C85526"/>
    <w:rsid w:val="00C863FB"/>
    <w:rsid w:val="00C87966"/>
    <w:rsid w:val="00C87E83"/>
    <w:rsid w:val="00C9027A"/>
    <w:rsid w:val="00C9068E"/>
    <w:rsid w:val="00C90779"/>
    <w:rsid w:val="00C91844"/>
    <w:rsid w:val="00C925EC"/>
    <w:rsid w:val="00C93807"/>
    <w:rsid w:val="00C93C4B"/>
    <w:rsid w:val="00C944AB"/>
    <w:rsid w:val="00C945B4"/>
    <w:rsid w:val="00C95686"/>
    <w:rsid w:val="00C95B40"/>
    <w:rsid w:val="00C96E9D"/>
    <w:rsid w:val="00C97123"/>
    <w:rsid w:val="00C97355"/>
    <w:rsid w:val="00C97EEE"/>
    <w:rsid w:val="00CA0071"/>
    <w:rsid w:val="00CA078D"/>
    <w:rsid w:val="00CA1ED8"/>
    <w:rsid w:val="00CA2846"/>
    <w:rsid w:val="00CA2985"/>
    <w:rsid w:val="00CA2F88"/>
    <w:rsid w:val="00CA3BD6"/>
    <w:rsid w:val="00CA6A64"/>
    <w:rsid w:val="00CA7123"/>
    <w:rsid w:val="00CA775F"/>
    <w:rsid w:val="00CA7B65"/>
    <w:rsid w:val="00CB0A26"/>
    <w:rsid w:val="00CB14C6"/>
    <w:rsid w:val="00CB16A6"/>
    <w:rsid w:val="00CB1F63"/>
    <w:rsid w:val="00CB20F3"/>
    <w:rsid w:val="00CB21A4"/>
    <w:rsid w:val="00CB2F22"/>
    <w:rsid w:val="00CB3BD4"/>
    <w:rsid w:val="00CB5574"/>
    <w:rsid w:val="00CB58FF"/>
    <w:rsid w:val="00CB5F79"/>
    <w:rsid w:val="00CB698B"/>
    <w:rsid w:val="00CB6F2F"/>
    <w:rsid w:val="00CB7170"/>
    <w:rsid w:val="00CB73C1"/>
    <w:rsid w:val="00CB796B"/>
    <w:rsid w:val="00CC040E"/>
    <w:rsid w:val="00CC10E3"/>
    <w:rsid w:val="00CC111F"/>
    <w:rsid w:val="00CC1297"/>
    <w:rsid w:val="00CC2011"/>
    <w:rsid w:val="00CC2D2E"/>
    <w:rsid w:val="00CC2E3B"/>
    <w:rsid w:val="00CC2F05"/>
    <w:rsid w:val="00CC3A03"/>
    <w:rsid w:val="00CC3AA8"/>
    <w:rsid w:val="00CC3EA0"/>
    <w:rsid w:val="00CC4B03"/>
    <w:rsid w:val="00CC4C24"/>
    <w:rsid w:val="00CC5DFD"/>
    <w:rsid w:val="00CC6C32"/>
    <w:rsid w:val="00CC77BD"/>
    <w:rsid w:val="00CC7AFA"/>
    <w:rsid w:val="00CC7B45"/>
    <w:rsid w:val="00CD089E"/>
    <w:rsid w:val="00CD1188"/>
    <w:rsid w:val="00CD1349"/>
    <w:rsid w:val="00CD1AC6"/>
    <w:rsid w:val="00CD2184"/>
    <w:rsid w:val="00CD2ED1"/>
    <w:rsid w:val="00CD337B"/>
    <w:rsid w:val="00CD40F0"/>
    <w:rsid w:val="00CD4948"/>
    <w:rsid w:val="00CD57F0"/>
    <w:rsid w:val="00CD6F7C"/>
    <w:rsid w:val="00CD73AB"/>
    <w:rsid w:val="00CD7B41"/>
    <w:rsid w:val="00CE0424"/>
    <w:rsid w:val="00CE1A5C"/>
    <w:rsid w:val="00CE1ADD"/>
    <w:rsid w:val="00CE217D"/>
    <w:rsid w:val="00CE2193"/>
    <w:rsid w:val="00CE2ACC"/>
    <w:rsid w:val="00CE2C0A"/>
    <w:rsid w:val="00CE2EF2"/>
    <w:rsid w:val="00CE36C1"/>
    <w:rsid w:val="00CE418D"/>
    <w:rsid w:val="00CE468E"/>
    <w:rsid w:val="00CE5294"/>
    <w:rsid w:val="00CE589A"/>
    <w:rsid w:val="00CE5BDC"/>
    <w:rsid w:val="00CE695F"/>
    <w:rsid w:val="00CE69B9"/>
    <w:rsid w:val="00CE6A72"/>
    <w:rsid w:val="00CE6E5D"/>
    <w:rsid w:val="00CE7561"/>
    <w:rsid w:val="00CF009F"/>
    <w:rsid w:val="00CF08D9"/>
    <w:rsid w:val="00CF1354"/>
    <w:rsid w:val="00CF2C08"/>
    <w:rsid w:val="00CF3A40"/>
    <w:rsid w:val="00CF3B1F"/>
    <w:rsid w:val="00CF3BF6"/>
    <w:rsid w:val="00CF450B"/>
    <w:rsid w:val="00CF51A4"/>
    <w:rsid w:val="00CF5ABE"/>
    <w:rsid w:val="00CF625B"/>
    <w:rsid w:val="00CF687E"/>
    <w:rsid w:val="00CF6FC5"/>
    <w:rsid w:val="00D0057F"/>
    <w:rsid w:val="00D019FD"/>
    <w:rsid w:val="00D01DB2"/>
    <w:rsid w:val="00D020AA"/>
    <w:rsid w:val="00D0250A"/>
    <w:rsid w:val="00D02E85"/>
    <w:rsid w:val="00D0349B"/>
    <w:rsid w:val="00D04B2E"/>
    <w:rsid w:val="00D04E79"/>
    <w:rsid w:val="00D10249"/>
    <w:rsid w:val="00D10DB5"/>
    <w:rsid w:val="00D113DC"/>
    <w:rsid w:val="00D115C3"/>
    <w:rsid w:val="00D11897"/>
    <w:rsid w:val="00D11CF3"/>
    <w:rsid w:val="00D12E78"/>
    <w:rsid w:val="00D12F09"/>
    <w:rsid w:val="00D13135"/>
    <w:rsid w:val="00D13210"/>
    <w:rsid w:val="00D1330B"/>
    <w:rsid w:val="00D1353D"/>
    <w:rsid w:val="00D13E4E"/>
    <w:rsid w:val="00D15616"/>
    <w:rsid w:val="00D15BD7"/>
    <w:rsid w:val="00D179BA"/>
    <w:rsid w:val="00D17AC8"/>
    <w:rsid w:val="00D17EA1"/>
    <w:rsid w:val="00D212D4"/>
    <w:rsid w:val="00D21443"/>
    <w:rsid w:val="00D21622"/>
    <w:rsid w:val="00D219D4"/>
    <w:rsid w:val="00D21CC3"/>
    <w:rsid w:val="00D232F7"/>
    <w:rsid w:val="00D239A7"/>
    <w:rsid w:val="00D23F47"/>
    <w:rsid w:val="00D24262"/>
    <w:rsid w:val="00D2476E"/>
    <w:rsid w:val="00D2685C"/>
    <w:rsid w:val="00D268FE"/>
    <w:rsid w:val="00D26EC8"/>
    <w:rsid w:val="00D27759"/>
    <w:rsid w:val="00D3107E"/>
    <w:rsid w:val="00D31201"/>
    <w:rsid w:val="00D314B7"/>
    <w:rsid w:val="00D31705"/>
    <w:rsid w:val="00D31AF9"/>
    <w:rsid w:val="00D34A5D"/>
    <w:rsid w:val="00D34F5E"/>
    <w:rsid w:val="00D34FA1"/>
    <w:rsid w:val="00D35767"/>
    <w:rsid w:val="00D35A82"/>
    <w:rsid w:val="00D35CD7"/>
    <w:rsid w:val="00D35EE7"/>
    <w:rsid w:val="00D3624A"/>
    <w:rsid w:val="00D36BD7"/>
    <w:rsid w:val="00D36E71"/>
    <w:rsid w:val="00D37D87"/>
    <w:rsid w:val="00D402E7"/>
    <w:rsid w:val="00D40535"/>
    <w:rsid w:val="00D40579"/>
    <w:rsid w:val="00D40B33"/>
    <w:rsid w:val="00D40DD8"/>
    <w:rsid w:val="00D41172"/>
    <w:rsid w:val="00D41AD5"/>
    <w:rsid w:val="00D41D15"/>
    <w:rsid w:val="00D41EAF"/>
    <w:rsid w:val="00D42423"/>
    <w:rsid w:val="00D42FF1"/>
    <w:rsid w:val="00D4318F"/>
    <w:rsid w:val="00D43697"/>
    <w:rsid w:val="00D4383D"/>
    <w:rsid w:val="00D438BF"/>
    <w:rsid w:val="00D440F8"/>
    <w:rsid w:val="00D452BC"/>
    <w:rsid w:val="00D4609B"/>
    <w:rsid w:val="00D46193"/>
    <w:rsid w:val="00D4689D"/>
    <w:rsid w:val="00D50160"/>
    <w:rsid w:val="00D50F97"/>
    <w:rsid w:val="00D515F0"/>
    <w:rsid w:val="00D52604"/>
    <w:rsid w:val="00D52D2A"/>
    <w:rsid w:val="00D5381B"/>
    <w:rsid w:val="00D53CD3"/>
    <w:rsid w:val="00D54229"/>
    <w:rsid w:val="00D546FF"/>
    <w:rsid w:val="00D54E2B"/>
    <w:rsid w:val="00D5515A"/>
    <w:rsid w:val="00D5532B"/>
    <w:rsid w:val="00D558CB"/>
    <w:rsid w:val="00D55AD5"/>
    <w:rsid w:val="00D564A4"/>
    <w:rsid w:val="00D5651A"/>
    <w:rsid w:val="00D57473"/>
    <w:rsid w:val="00D576CA"/>
    <w:rsid w:val="00D57A01"/>
    <w:rsid w:val="00D60352"/>
    <w:rsid w:val="00D60719"/>
    <w:rsid w:val="00D61010"/>
    <w:rsid w:val="00D61AF5"/>
    <w:rsid w:val="00D61C12"/>
    <w:rsid w:val="00D633BC"/>
    <w:rsid w:val="00D6345B"/>
    <w:rsid w:val="00D6386F"/>
    <w:rsid w:val="00D644A2"/>
    <w:rsid w:val="00D652B5"/>
    <w:rsid w:val="00D659BB"/>
    <w:rsid w:val="00D66106"/>
    <w:rsid w:val="00D66155"/>
    <w:rsid w:val="00D674FE"/>
    <w:rsid w:val="00D708B0"/>
    <w:rsid w:val="00D70941"/>
    <w:rsid w:val="00D71DF7"/>
    <w:rsid w:val="00D71F67"/>
    <w:rsid w:val="00D72957"/>
    <w:rsid w:val="00D73A35"/>
    <w:rsid w:val="00D73CCC"/>
    <w:rsid w:val="00D745EE"/>
    <w:rsid w:val="00D75516"/>
    <w:rsid w:val="00D77AD4"/>
    <w:rsid w:val="00D77B1D"/>
    <w:rsid w:val="00D8021F"/>
    <w:rsid w:val="00D80383"/>
    <w:rsid w:val="00D814D2"/>
    <w:rsid w:val="00D8160C"/>
    <w:rsid w:val="00D820DF"/>
    <w:rsid w:val="00D823C6"/>
    <w:rsid w:val="00D8250D"/>
    <w:rsid w:val="00D826A5"/>
    <w:rsid w:val="00D842E7"/>
    <w:rsid w:val="00D8437D"/>
    <w:rsid w:val="00D84415"/>
    <w:rsid w:val="00D845E6"/>
    <w:rsid w:val="00D8594E"/>
    <w:rsid w:val="00D85D95"/>
    <w:rsid w:val="00D86CA3"/>
    <w:rsid w:val="00D871CE"/>
    <w:rsid w:val="00D87349"/>
    <w:rsid w:val="00D915D1"/>
    <w:rsid w:val="00D917FE"/>
    <w:rsid w:val="00D9196D"/>
    <w:rsid w:val="00D91C82"/>
    <w:rsid w:val="00D92982"/>
    <w:rsid w:val="00D92BF0"/>
    <w:rsid w:val="00D92DE4"/>
    <w:rsid w:val="00D9344F"/>
    <w:rsid w:val="00D94B4D"/>
    <w:rsid w:val="00D94D9E"/>
    <w:rsid w:val="00D9542D"/>
    <w:rsid w:val="00D96F81"/>
    <w:rsid w:val="00D97E56"/>
    <w:rsid w:val="00D97E68"/>
    <w:rsid w:val="00DA01C4"/>
    <w:rsid w:val="00DA0850"/>
    <w:rsid w:val="00DA15A4"/>
    <w:rsid w:val="00DA26C2"/>
    <w:rsid w:val="00DA305E"/>
    <w:rsid w:val="00DA4E32"/>
    <w:rsid w:val="00DA4F1C"/>
    <w:rsid w:val="00DA5417"/>
    <w:rsid w:val="00DA56E8"/>
    <w:rsid w:val="00DA6518"/>
    <w:rsid w:val="00DB043A"/>
    <w:rsid w:val="00DB0A9F"/>
    <w:rsid w:val="00DB377D"/>
    <w:rsid w:val="00DB4235"/>
    <w:rsid w:val="00DB461A"/>
    <w:rsid w:val="00DB4CDF"/>
    <w:rsid w:val="00DB4D8A"/>
    <w:rsid w:val="00DB514E"/>
    <w:rsid w:val="00DB5922"/>
    <w:rsid w:val="00DB5938"/>
    <w:rsid w:val="00DB6712"/>
    <w:rsid w:val="00DB7350"/>
    <w:rsid w:val="00DB7C1E"/>
    <w:rsid w:val="00DB7F98"/>
    <w:rsid w:val="00DC13F4"/>
    <w:rsid w:val="00DC14D7"/>
    <w:rsid w:val="00DC1535"/>
    <w:rsid w:val="00DC1CEF"/>
    <w:rsid w:val="00DC227B"/>
    <w:rsid w:val="00DC2D36"/>
    <w:rsid w:val="00DC2DA0"/>
    <w:rsid w:val="00DC3287"/>
    <w:rsid w:val="00DC3F0B"/>
    <w:rsid w:val="00DC530B"/>
    <w:rsid w:val="00DC53EF"/>
    <w:rsid w:val="00DC6639"/>
    <w:rsid w:val="00DC6BA9"/>
    <w:rsid w:val="00DC74D9"/>
    <w:rsid w:val="00DC7B5D"/>
    <w:rsid w:val="00DD0026"/>
    <w:rsid w:val="00DD0263"/>
    <w:rsid w:val="00DD0DA6"/>
    <w:rsid w:val="00DD0EC1"/>
    <w:rsid w:val="00DD1825"/>
    <w:rsid w:val="00DD1880"/>
    <w:rsid w:val="00DD20A0"/>
    <w:rsid w:val="00DD2571"/>
    <w:rsid w:val="00DD29B5"/>
    <w:rsid w:val="00DD396C"/>
    <w:rsid w:val="00DD3B64"/>
    <w:rsid w:val="00DD53FD"/>
    <w:rsid w:val="00DD5D69"/>
    <w:rsid w:val="00DD60E6"/>
    <w:rsid w:val="00DD6F36"/>
    <w:rsid w:val="00DD71F0"/>
    <w:rsid w:val="00DE1645"/>
    <w:rsid w:val="00DE1944"/>
    <w:rsid w:val="00DE1E88"/>
    <w:rsid w:val="00DE23ED"/>
    <w:rsid w:val="00DE38B4"/>
    <w:rsid w:val="00DE55E9"/>
    <w:rsid w:val="00DE5608"/>
    <w:rsid w:val="00DE58D0"/>
    <w:rsid w:val="00DE654F"/>
    <w:rsid w:val="00DE6A68"/>
    <w:rsid w:val="00DE73A4"/>
    <w:rsid w:val="00DF0B0C"/>
    <w:rsid w:val="00DF0B6E"/>
    <w:rsid w:val="00DF15E0"/>
    <w:rsid w:val="00DF1927"/>
    <w:rsid w:val="00DF1A7F"/>
    <w:rsid w:val="00DF37A0"/>
    <w:rsid w:val="00DF3868"/>
    <w:rsid w:val="00DF3908"/>
    <w:rsid w:val="00DF475D"/>
    <w:rsid w:val="00DF4818"/>
    <w:rsid w:val="00DF4A78"/>
    <w:rsid w:val="00DF4BDF"/>
    <w:rsid w:val="00DF545F"/>
    <w:rsid w:val="00DF5BFE"/>
    <w:rsid w:val="00DF67BB"/>
    <w:rsid w:val="00DF6E60"/>
    <w:rsid w:val="00DF716B"/>
    <w:rsid w:val="00DF71A0"/>
    <w:rsid w:val="00E00516"/>
    <w:rsid w:val="00E01091"/>
    <w:rsid w:val="00E013AC"/>
    <w:rsid w:val="00E01AD8"/>
    <w:rsid w:val="00E03350"/>
    <w:rsid w:val="00E034A7"/>
    <w:rsid w:val="00E0644D"/>
    <w:rsid w:val="00E069AD"/>
    <w:rsid w:val="00E06E86"/>
    <w:rsid w:val="00E110E7"/>
    <w:rsid w:val="00E11609"/>
    <w:rsid w:val="00E11B20"/>
    <w:rsid w:val="00E1244C"/>
    <w:rsid w:val="00E1249E"/>
    <w:rsid w:val="00E12604"/>
    <w:rsid w:val="00E12738"/>
    <w:rsid w:val="00E1291B"/>
    <w:rsid w:val="00E14296"/>
    <w:rsid w:val="00E14CAC"/>
    <w:rsid w:val="00E14D9A"/>
    <w:rsid w:val="00E14F40"/>
    <w:rsid w:val="00E15F7E"/>
    <w:rsid w:val="00E16DB2"/>
    <w:rsid w:val="00E1748C"/>
    <w:rsid w:val="00E17601"/>
    <w:rsid w:val="00E17FA2"/>
    <w:rsid w:val="00E202F6"/>
    <w:rsid w:val="00E206B2"/>
    <w:rsid w:val="00E20D06"/>
    <w:rsid w:val="00E20FFC"/>
    <w:rsid w:val="00E2189E"/>
    <w:rsid w:val="00E21B05"/>
    <w:rsid w:val="00E22330"/>
    <w:rsid w:val="00E237FB"/>
    <w:rsid w:val="00E23B4B"/>
    <w:rsid w:val="00E23BBE"/>
    <w:rsid w:val="00E2480E"/>
    <w:rsid w:val="00E24C9A"/>
    <w:rsid w:val="00E256B9"/>
    <w:rsid w:val="00E27B45"/>
    <w:rsid w:val="00E27BFC"/>
    <w:rsid w:val="00E30805"/>
    <w:rsid w:val="00E30B5A"/>
    <w:rsid w:val="00E30DAD"/>
    <w:rsid w:val="00E30E8C"/>
    <w:rsid w:val="00E3123D"/>
    <w:rsid w:val="00E31461"/>
    <w:rsid w:val="00E31B8C"/>
    <w:rsid w:val="00E31D43"/>
    <w:rsid w:val="00E32608"/>
    <w:rsid w:val="00E33AE8"/>
    <w:rsid w:val="00E34188"/>
    <w:rsid w:val="00E34945"/>
    <w:rsid w:val="00E34B6E"/>
    <w:rsid w:val="00E34D89"/>
    <w:rsid w:val="00E35559"/>
    <w:rsid w:val="00E35D9B"/>
    <w:rsid w:val="00E368A5"/>
    <w:rsid w:val="00E3723A"/>
    <w:rsid w:val="00E37860"/>
    <w:rsid w:val="00E37A27"/>
    <w:rsid w:val="00E401B5"/>
    <w:rsid w:val="00E40F3C"/>
    <w:rsid w:val="00E413D9"/>
    <w:rsid w:val="00E419D4"/>
    <w:rsid w:val="00E43FE2"/>
    <w:rsid w:val="00E446F1"/>
    <w:rsid w:val="00E44A90"/>
    <w:rsid w:val="00E44E2C"/>
    <w:rsid w:val="00E45807"/>
    <w:rsid w:val="00E45B29"/>
    <w:rsid w:val="00E46886"/>
    <w:rsid w:val="00E46975"/>
    <w:rsid w:val="00E46E00"/>
    <w:rsid w:val="00E472FC"/>
    <w:rsid w:val="00E47AEF"/>
    <w:rsid w:val="00E51151"/>
    <w:rsid w:val="00E52131"/>
    <w:rsid w:val="00E527B9"/>
    <w:rsid w:val="00E53B75"/>
    <w:rsid w:val="00E53EC8"/>
    <w:rsid w:val="00E54162"/>
    <w:rsid w:val="00E54B96"/>
    <w:rsid w:val="00E54E3B"/>
    <w:rsid w:val="00E55A4E"/>
    <w:rsid w:val="00E55C28"/>
    <w:rsid w:val="00E55D1A"/>
    <w:rsid w:val="00E571D6"/>
    <w:rsid w:val="00E574B4"/>
    <w:rsid w:val="00E57565"/>
    <w:rsid w:val="00E606C9"/>
    <w:rsid w:val="00E60CC2"/>
    <w:rsid w:val="00E61AC6"/>
    <w:rsid w:val="00E61B2A"/>
    <w:rsid w:val="00E6287A"/>
    <w:rsid w:val="00E62EA9"/>
    <w:rsid w:val="00E632D0"/>
    <w:rsid w:val="00E636B3"/>
    <w:rsid w:val="00E6379F"/>
    <w:rsid w:val="00E63838"/>
    <w:rsid w:val="00E64434"/>
    <w:rsid w:val="00E6456F"/>
    <w:rsid w:val="00E6476C"/>
    <w:rsid w:val="00E65DBE"/>
    <w:rsid w:val="00E65F62"/>
    <w:rsid w:val="00E660D3"/>
    <w:rsid w:val="00E6752E"/>
    <w:rsid w:val="00E67801"/>
    <w:rsid w:val="00E67C51"/>
    <w:rsid w:val="00E7032E"/>
    <w:rsid w:val="00E712F1"/>
    <w:rsid w:val="00E721A7"/>
    <w:rsid w:val="00E722A0"/>
    <w:rsid w:val="00E72EFC"/>
    <w:rsid w:val="00E73759"/>
    <w:rsid w:val="00E73BD8"/>
    <w:rsid w:val="00E743B9"/>
    <w:rsid w:val="00E749DB"/>
    <w:rsid w:val="00E758EC"/>
    <w:rsid w:val="00E75D8C"/>
    <w:rsid w:val="00E75F89"/>
    <w:rsid w:val="00E76B18"/>
    <w:rsid w:val="00E811FC"/>
    <w:rsid w:val="00E81CCA"/>
    <w:rsid w:val="00E8234C"/>
    <w:rsid w:val="00E82DBD"/>
    <w:rsid w:val="00E83815"/>
    <w:rsid w:val="00E83AA9"/>
    <w:rsid w:val="00E84032"/>
    <w:rsid w:val="00E85928"/>
    <w:rsid w:val="00E85CF8"/>
    <w:rsid w:val="00E85DA6"/>
    <w:rsid w:val="00E87822"/>
    <w:rsid w:val="00E90395"/>
    <w:rsid w:val="00E9098B"/>
    <w:rsid w:val="00E90E49"/>
    <w:rsid w:val="00E917F9"/>
    <w:rsid w:val="00E91A41"/>
    <w:rsid w:val="00E9291C"/>
    <w:rsid w:val="00E92972"/>
    <w:rsid w:val="00E939A4"/>
    <w:rsid w:val="00E93DB2"/>
    <w:rsid w:val="00E93FFE"/>
    <w:rsid w:val="00E94F8A"/>
    <w:rsid w:val="00E9597C"/>
    <w:rsid w:val="00E9608A"/>
    <w:rsid w:val="00E96094"/>
    <w:rsid w:val="00E96347"/>
    <w:rsid w:val="00E96A15"/>
    <w:rsid w:val="00E974B6"/>
    <w:rsid w:val="00E97C70"/>
    <w:rsid w:val="00E97D31"/>
    <w:rsid w:val="00EA03A3"/>
    <w:rsid w:val="00EA192B"/>
    <w:rsid w:val="00EA3567"/>
    <w:rsid w:val="00EA3C86"/>
    <w:rsid w:val="00EA4DBD"/>
    <w:rsid w:val="00EA5123"/>
    <w:rsid w:val="00EA667E"/>
    <w:rsid w:val="00EA6D24"/>
    <w:rsid w:val="00EA7A41"/>
    <w:rsid w:val="00EA7AAE"/>
    <w:rsid w:val="00EB0038"/>
    <w:rsid w:val="00EB077B"/>
    <w:rsid w:val="00EB0E04"/>
    <w:rsid w:val="00EB2BC0"/>
    <w:rsid w:val="00EB456F"/>
    <w:rsid w:val="00EB4EA2"/>
    <w:rsid w:val="00EB51CF"/>
    <w:rsid w:val="00EB56B3"/>
    <w:rsid w:val="00EB7C2E"/>
    <w:rsid w:val="00EC0207"/>
    <w:rsid w:val="00EC0283"/>
    <w:rsid w:val="00EC0685"/>
    <w:rsid w:val="00EC1126"/>
    <w:rsid w:val="00EC1A51"/>
    <w:rsid w:val="00EC2610"/>
    <w:rsid w:val="00EC27C6"/>
    <w:rsid w:val="00EC2819"/>
    <w:rsid w:val="00EC2B97"/>
    <w:rsid w:val="00EC37E1"/>
    <w:rsid w:val="00EC4207"/>
    <w:rsid w:val="00EC4955"/>
    <w:rsid w:val="00EC50E2"/>
    <w:rsid w:val="00EC5653"/>
    <w:rsid w:val="00EC5D84"/>
    <w:rsid w:val="00EC5EA9"/>
    <w:rsid w:val="00EC6092"/>
    <w:rsid w:val="00EC60F1"/>
    <w:rsid w:val="00EC617F"/>
    <w:rsid w:val="00EC67B6"/>
    <w:rsid w:val="00EC70EF"/>
    <w:rsid w:val="00EC71CE"/>
    <w:rsid w:val="00EC74E0"/>
    <w:rsid w:val="00EC7D0D"/>
    <w:rsid w:val="00ED1006"/>
    <w:rsid w:val="00ED15C4"/>
    <w:rsid w:val="00ED20E8"/>
    <w:rsid w:val="00ED2617"/>
    <w:rsid w:val="00ED2E4E"/>
    <w:rsid w:val="00ED3204"/>
    <w:rsid w:val="00ED3644"/>
    <w:rsid w:val="00ED39FA"/>
    <w:rsid w:val="00ED3A4E"/>
    <w:rsid w:val="00ED48F7"/>
    <w:rsid w:val="00ED5378"/>
    <w:rsid w:val="00ED5BB5"/>
    <w:rsid w:val="00ED5CCA"/>
    <w:rsid w:val="00ED732C"/>
    <w:rsid w:val="00ED7C35"/>
    <w:rsid w:val="00ED7CBF"/>
    <w:rsid w:val="00EE09F8"/>
    <w:rsid w:val="00EE0E00"/>
    <w:rsid w:val="00EE1C64"/>
    <w:rsid w:val="00EE1CB4"/>
    <w:rsid w:val="00EE2241"/>
    <w:rsid w:val="00EE3617"/>
    <w:rsid w:val="00EE3BFB"/>
    <w:rsid w:val="00EE42E5"/>
    <w:rsid w:val="00EE445F"/>
    <w:rsid w:val="00EE5B5B"/>
    <w:rsid w:val="00EE6800"/>
    <w:rsid w:val="00EE75AF"/>
    <w:rsid w:val="00EE79C7"/>
    <w:rsid w:val="00EF052A"/>
    <w:rsid w:val="00EF18FE"/>
    <w:rsid w:val="00EF1D57"/>
    <w:rsid w:val="00EF2074"/>
    <w:rsid w:val="00EF2807"/>
    <w:rsid w:val="00EF2EA4"/>
    <w:rsid w:val="00EF3303"/>
    <w:rsid w:val="00EF3B61"/>
    <w:rsid w:val="00EF50E6"/>
    <w:rsid w:val="00EF5429"/>
    <w:rsid w:val="00EF5787"/>
    <w:rsid w:val="00EF57E5"/>
    <w:rsid w:val="00EF5D86"/>
    <w:rsid w:val="00EF60D0"/>
    <w:rsid w:val="00EF6AE2"/>
    <w:rsid w:val="00EF7199"/>
    <w:rsid w:val="00EF7872"/>
    <w:rsid w:val="00EF7B53"/>
    <w:rsid w:val="00F00E1A"/>
    <w:rsid w:val="00F0175C"/>
    <w:rsid w:val="00F019C0"/>
    <w:rsid w:val="00F01E1B"/>
    <w:rsid w:val="00F03906"/>
    <w:rsid w:val="00F04697"/>
    <w:rsid w:val="00F04798"/>
    <w:rsid w:val="00F04F5C"/>
    <w:rsid w:val="00F0528D"/>
    <w:rsid w:val="00F05568"/>
    <w:rsid w:val="00F05753"/>
    <w:rsid w:val="00F05E6F"/>
    <w:rsid w:val="00F06497"/>
    <w:rsid w:val="00F06C67"/>
    <w:rsid w:val="00F06DFD"/>
    <w:rsid w:val="00F071D1"/>
    <w:rsid w:val="00F07533"/>
    <w:rsid w:val="00F0764C"/>
    <w:rsid w:val="00F078D4"/>
    <w:rsid w:val="00F102EE"/>
    <w:rsid w:val="00F10629"/>
    <w:rsid w:val="00F119AE"/>
    <w:rsid w:val="00F1249F"/>
    <w:rsid w:val="00F147E3"/>
    <w:rsid w:val="00F14F32"/>
    <w:rsid w:val="00F153CB"/>
    <w:rsid w:val="00F154BD"/>
    <w:rsid w:val="00F15849"/>
    <w:rsid w:val="00F15FA5"/>
    <w:rsid w:val="00F165A3"/>
    <w:rsid w:val="00F16982"/>
    <w:rsid w:val="00F16DA7"/>
    <w:rsid w:val="00F1783D"/>
    <w:rsid w:val="00F20227"/>
    <w:rsid w:val="00F209B7"/>
    <w:rsid w:val="00F218FE"/>
    <w:rsid w:val="00F21CB9"/>
    <w:rsid w:val="00F23094"/>
    <w:rsid w:val="00F2376F"/>
    <w:rsid w:val="00F23F73"/>
    <w:rsid w:val="00F243D8"/>
    <w:rsid w:val="00F2518D"/>
    <w:rsid w:val="00F267F6"/>
    <w:rsid w:val="00F27D31"/>
    <w:rsid w:val="00F30578"/>
    <w:rsid w:val="00F306AB"/>
    <w:rsid w:val="00F30828"/>
    <w:rsid w:val="00F309E0"/>
    <w:rsid w:val="00F313D6"/>
    <w:rsid w:val="00F3149D"/>
    <w:rsid w:val="00F31C8A"/>
    <w:rsid w:val="00F324B0"/>
    <w:rsid w:val="00F331CA"/>
    <w:rsid w:val="00F34C0F"/>
    <w:rsid w:val="00F352D0"/>
    <w:rsid w:val="00F35AF2"/>
    <w:rsid w:val="00F3613A"/>
    <w:rsid w:val="00F37EC0"/>
    <w:rsid w:val="00F40014"/>
    <w:rsid w:val="00F409A8"/>
    <w:rsid w:val="00F40F0C"/>
    <w:rsid w:val="00F40FB0"/>
    <w:rsid w:val="00F417CC"/>
    <w:rsid w:val="00F417DC"/>
    <w:rsid w:val="00F42B5A"/>
    <w:rsid w:val="00F43D88"/>
    <w:rsid w:val="00F44BB3"/>
    <w:rsid w:val="00F44DD8"/>
    <w:rsid w:val="00F44EBD"/>
    <w:rsid w:val="00F4524C"/>
    <w:rsid w:val="00F45406"/>
    <w:rsid w:val="00F456C6"/>
    <w:rsid w:val="00F45B1E"/>
    <w:rsid w:val="00F46C25"/>
    <w:rsid w:val="00F46C7E"/>
    <w:rsid w:val="00F46C92"/>
    <w:rsid w:val="00F46CE6"/>
    <w:rsid w:val="00F4766C"/>
    <w:rsid w:val="00F47881"/>
    <w:rsid w:val="00F503E5"/>
    <w:rsid w:val="00F50417"/>
    <w:rsid w:val="00F507D1"/>
    <w:rsid w:val="00F50B88"/>
    <w:rsid w:val="00F519CE"/>
    <w:rsid w:val="00F51ADA"/>
    <w:rsid w:val="00F52361"/>
    <w:rsid w:val="00F523FB"/>
    <w:rsid w:val="00F53110"/>
    <w:rsid w:val="00F532CD"/>
    <w:rsid w:val="00F54103"/>
    <w:rsid w:val="00F54340"/>
    <w:rsid w:val="00F54515"/>
    <w:rsid w:val="00F549A2"/>
    <w:rsid w:val="00F55731"/>
    <w:rsid w:val="00F56404"/>
    <w:rsid w:val="00F56A31"/>
    <w:rsid w:val="00F5728F"/>
    <w:rsid w:val="00F57749"/>
    <w:rsid w:val="00F57850"/>
    <w:rsid w:val="00F607C5"/>
    <w:rsid w:val="00F60A59"/>
    <w:rsid w:val="00F60CEA"/>
    <w:rsid w:val="00F60D1C"/>
    <w:rsid w:val="00F60DEA"/>
    <w:rsid w:val="00F612AD"/>
    <w:rsid w:val="00F61A7A"/>
    <w:rsid w:val="00F61D98"/>
    <w:rsid w:val="00F61E0D"/>
    <w:rsid w:val="00F6226C"/>
    <w:rsid w:val="00F6302A"/>
    <w:rsid w:val="00F63D97"/>
    <w:rsid w:val="00F64C2B"/>
    <w:rsid w:val="00F64FAF"/>
    <w:rsid w:val="00F651BE"/>
    <w:rsid w:val="00F653F9"/>
    <w:rsid w:val="00F654CB"/>
    <w:rsid w:val="00F65788"/>
    <w:rsid w:val="00F65F34"/>
    <w:rsid w:val="00F65FDF"/>
    <w:rsid w:val="00F67C42"/>
    <w:rsid w:val="00F67F53"/>
    <w:rsid w:val="00F703BE"/>
    <w:rsid w:val="00F708EC"/>
    <w:rsid w:val="00F71F69"/>
    <w:rsid w:val="00F71FED"/>
    <w:rsid w:val="00F7216C"/>
    <w:rsid w:val="00F72602"/>
    <w:rsid w:val="00F72798"/>
    <w:rsid w:val="00F72B72"/>
    <w:rsid w:val="00F72DE4"/>
    <w:rsid w:val="00F73E82"/>
    <w:rsid w:val="00F73F54"/>
    <w:rsid w:val="00F74B09"/>
    <w:rsid w:val="00F74BB9"/>
    <w:rsid w:val="00F75582"/>
    <w:rsid w:val="00F76E21"/>
    <w:rsid w:val="00F76EFA"/>
    <w:rsid w:val="00F77075"/>
    <w:rsid w:val="00F804BE"/>
    <w:rsid w:val="00F80FEA"/>
    <w:rsid w:val="00F817CE"/>
    <w:rsid w:val="00F81AB5"/>
    <w:rsid w:val="00F82550"/>
    <w:rsid w:val="00F82CF4"/>
    <w:rsid w:val="00F83189"/>
    <w:rsid w:val="00F83993"/>
    <w:rsid w:val="00F8456C"/>
    <w:rsid w:val="00F858C5"/>
    <w:rsid w:val="00F859D8"/>
    <w:rsid w:val="00F8642C"/>
    <w:rsid w:val="00F868F5"/>
    <w:rsid w:val="00F90248"/>
    <w:rsid w:val="00F9056A"/>
    <w:rsid w:val="00F90BEC"/>
    <w:rsid w:val="00F90F8D"/>
    <w:rsid w:val="00F91917"/>
    <w:rsid w:val="00F91A81"/>
    <w:rsid w:val="00F9247D"/>
    <w:rsid w:val="00F92768"/>
    <w:rsid w:val="00F92782"/>
    <w:rsid w:val="00F92ACD"/>
    <w:rsid w:val="00F92D3B"/>
    <w:rsid w:val="00F93282"/>
    <w:rsid w:val="00F93AA9"/>
    <w:rsid w:val="00F94E81"/>
    <w:rsid w:val="00F952A8"/>
    <w:rsid w:val="00F9591A"/>
    <w:rsid w:val="00F960A0"/>
    <w:rsid w:val="00F96985"/>
    <w:rsid w:val="00F96B98"/>
    <w:rsid w:val="00F96CB0"/>
    <w:rsid w:val="00F974E0"/>
    <w:rsid w:val="00F97506"/>
    <w:rsid w:val="00F97838"/>
    <w:rsid w:val="00F97ED5"/>
    <w:rsid w:val="00FA136A"/>
    <w:rsid w:val="00FA1901"/>
    <w:rsid w:val="00FA1B6E"/>
    <w:rsid w:val="00FA2285"/>
    <w:rsid w:val="00FA2BB3"/>
    <w:rsid w:val="00FA4460"/>
    <w:rsid w:val="00FA6F5A"/>
    <w:rsid w:val="00FA6F78"/>
    <w:rsid w:val="00FA7E56"/>
    <w:rsid w:val="00FB1315"/>
    <w:rsid w:val="00FB1B5C"/>
    <w:rsid w:val="00FB1D20"/>
    <w:rsid w:val="00FB4C80"/>
    <w:rsid w:val="00FB5C18"/>
    <w:rsid w:val="00FB5F16"/>
    <w:rsid w:val="00FB6A41"/>
    <w:rsid w:val="00FB6A6A"/>
    <w:rsid w:val="00FB7588"/>
    <w:rsid w:val="00FC0137"/>
    <w:rsid w:val="00FC10C1"/>
    <w:rsid w:val="00FC12B9"/>
    <w:rsid w:val="00FC12C7"/>
    <w:rsid w:val="00FC1AEE"/>
    <w:rsid w:val="00FC29BE"/>
    <w:rsid w:val="00FC2B7C"/>
    <w:rsid w:val="00FC2EA8"/>
    <w:rsid w:val="00FC2F70"/>
    <w:rsid w:val="00FC35D4"/>
    <w:rsid w:val="00FC3A07"/>
    <w:rsid w:val="00FC5BA1"/>
    <w:rsid w:val="00FC7429"/>
    <w:rsid w:val="00FC7595"/>
    <w:rsid w:val="00FC77F3"/>
    <w:rsid w:val="00FC78C0"/>
    <w:rsid w:val="00FC7DD7"/>
    <w:rsid w:val="00FD07F6"/>
    <w:rsid w:val="00FD0CAE"/>
    <w:rsid w:val="00FD1407"/>
    <w:rsid w:val="00FD1EC8"/>
    <w:rsid w:val="00FD1FFC"/>
    <w:rsid w:val="00FD2024"/>
    <w:rsid w:val="00FD3488"/>
    <w:rsid w:val="00FD3D63"/>
    <w:rsid w:val="00FD41EF"/>
    <w:rsid w:val="00FD47ED"/>
    <w:rsid w:val="00FD6D1E"/>
    <w:rsid w:val="00FD74DB"/>
    <w:rsid w:val="00FD7660"/>
    <w:rsid w:val="00FD788B"/>
    <w:rsid w:val="00FD7DE2"/>
    <w:rsid w:val="00FE057D"/>
    <w:rsid w:val="00FE0655"/>
    <w:rsid w:val="00FE09E0"/>
    <w:rsid w:val="00FE0D6C"/>
    <w:rsid w:val="00FE1163"/>
    <w:rsid w:val="00FE1477"/>
    <w:rsid w:val="00FE1E66"/>
    <w:rsid w:val="00FE2365"/>
    <w:rsid w:val="00FE38DA"/>
    <w:rsid w:val="00FE4C7B"/>
    <w:rsid w:val="00FE4DBA"/>
    <w:rsid w:val="00FE524C"/>
    <w:rsid w:val="00FE5B7B"/>
    <w:rsid w:val="00FE5F79"/>
    <w:rsid w:val="00FE7336"/>
    <w:rsid w:val="00FE749F"/>
    <w:rsid w:val="00FE787C"/>
    <w:rsid w:val="00FF0679"/>
    <w:rsid w:val="00FF08CC"/>
    <w:rsid w:val="00FF0A52"/>
    <w:rsid w:val="00FF1DB4"/>
    <w:rsid w:val="00FF3E5D"/>
    <w:rsid w:val="00FF415C"/>
    <w:rsid w:val="00FF417B"/>
    <w:rsid w:val="00FF45A5"/>
    <w:rsid w:val="00FF471D"/>
    <w:rsid w:val="00FF59DD"/>
    <w:rsid w:val="00FF5C91"/>
    <w:rsid w:val="00FF6526"/>
    <w:rsid w:val="00FF78E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15:docId w15:val="{DEB221B5-F535-4314-B9D8-B9602DF9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EC7"/>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71E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EC7"/>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Theme="minorHAnsi" w:eastAsiaTheme="minorHAnsi" w:hAnsiTheme="minorHAnsi" w:cstheme="minorBidi"/>
      <w:sz w:val="22"/>
      <w:szCs w:val="22"/>
      <w:lang w:val="sv-SE"/>
    </w:rPr>
  </w:style>
  <w:style w:type="table" w:styleId="TableGrid">
    <w:name w:val="Table Grid"/>
    <w:basedOn w:val="TableNormal"/>
    <w:uiPriority w:val="39"/>
    <w:rsid w:val="00DF4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39F"/>
    <w:rPr>
      <w:color w:val="808080"/>
    </w:rPr>
  </w:style>
  <w:style w:type="character" w:styleId="UnresolvedMention">
    <w:name w:val="Unresolved Mention"/>
    <w:basedOn w:val="DefaultParagraphFont"/>
    <w:uiPriority w:val="99"/>
    <w:semiHidden/>
    <w:unhideWhenUsed/>
    <w:rsid w:val="000B1C13"/>
    <w:rPr>
      <w:color w:val="808080"/>
      <w:shd w:val="clear" w:color="auto" w:fill="E6E6E6"/>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275C2"/>
    <w:pPr>
      <w:ind w:left="720"/>
      <w:contextualSpacing/>
    </w:pPr>
  </w:style>
  <w:style w:type="paragraph" w:customStyle="1" w:styleId="TdocHeading1">
    <w:name w:val="Tdoc_Heading_1"/>
    <w:basedOn w:val="Heading1"/>
    <w:next w:val="BodyText"/>
    <w:autoRedefine/>
    <w:rsid w:val="00CB58FF"/>
    <w:pPr>
      <w:keepLines w:val="0"/>
      <w:numPr>
        <w:numId w:val="11"/>
      </w:numPr>
      <w:pBdr>
        <w:top w:val="double" w:sz="4" w:space="1" w:color="auto"/>
        <w:left w:val="double" w:sz="4" w:space="4" w:color="auto"/>
        <w:bottom w:val="double" w:sz="4" w:space="1" w:color="auto"/>
        <w:right w:val="double" w:sz="4" w:space="4" w:color="auto"/>
      </w:pBdr>
      <w:shd w:val="clear" w:color="auto" w:fill="BF8F00" w:themeFill="accent4" w:themeFillShade="BF"/>
      <w:tabs>
        <w:tab w:val="center" w:pos="9000"/>
      </w:tabs>
      <w:overflowPunct/>
      <w:autoSpaceDE/>
      <w:autoSpaceDN/>
      <w:adjustRightInd/>
      <w:spacing w:after="120"/>
      <w:ind w:left="357" w:hanging="357"/>
      <w:textAlignment w:val="auto"/>
    </w:pPr>
    <w:rPr>
      <w:rFonts w:eastAsia="Batang" w:cs="Times New Roman"/>
      <w:noProof/>
      <w:color w:val="FFFFFF" w:themeColor="background1"/>
      <w:kern w:val="28"/>
      <w:sz w:val="24"/>
      <w:szCs w:val="20"/>
      <w:lang w:val="en-US" w:eastAsia="en-US"/>
    </w:rPr>
  </w:style>
  <w:style w:type="character" w:styleId="Strong">
    <w:name w:val="Strong"/>
    <w:basedOn w:val="DefaultParagraphFont"/>
    <w:qFormat/>
    <w:rsid w:val="009B1B39"/>
    <w:rPr>
      <w:b/>
      <w:bCs/>
    </w:rPr>
  </w:style>
  <w:style w:type="paragraph" w:styleId="Revision">
    <w:name w:val="Revision"/>
    <w:hidden/>
    <w:uiPriority w:val="99"/>
    <w:semiHidden/>
    <w:rsid w:val="0076766E"/>
    <w:rPr>
      <w:rFonts w:asciiTheme="minorHAnsi" w:eastAsiaTheme="minorHAnsi" w:hAnsiTheme="minorHAnsi" w:cstheme="minorBidi"/>
      <w:sz w:val="22"/>
      <w:szCs w:val="22"/>
    </w:rPr>
  </w:style>
  <w:style w:type="paragraph" w:customStyle="1" w:styleId="Review">
    <w:name w:val="Review"/>
    <w:basedOn w:val="Normal"/>
    <w:qFormat/>
    <w:rsid w:val="003767D5"/>
    <w:pPr>
      <w:shd w:val="clear" w:color="auto" w:fill="FFFFF0"/>
      <w:spacing w:before="40" w:after="0" w:line="240" w:lineRule="auto"/>
      <w:ind w:left="216" w:hanging="216"/>
    </w:pPr>
    <w:rPr>
      <w:rFonts w:ascii="Times New Roman" w:eastAsia="Batang" w:hAnsi="Times New Roman" w:cs="Times New Roman"/>
      <w:color w:val="5000FF"/>
      <w:sz w:val="20"/>
      <w:szCs w:val="24"/>
    </w:rPr>
  </w:style>
  <w:style w:type="table" w:customStyle="1" w:styleId="TableGrid1">
    <w:name w:val="Table Grid1"/>
    <w:basedOn w:val="TableNormal"/>
    <w:next w:val="TableGrid"/>
    <w:uiPriority w:val="39"/>
    <w:rsid w:val="00041DF6"/>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31367"/>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sid w:val="00B8243D"/>
    <w:rPr>
      <w:rFonts w:asciiTheme="minorHAnsi" w:eastAsiaTheme="minorHAnsi" w:hAnsiTheme="minorHAnsi" w:cstheme="minorBidi"/>
      <w:b/>
      <w:bCs/>
      <w:sz w:val="22"/>
      <w:szCs w:val="22"/>
      <w:lang w:val="sv-S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903679"/>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1593">
      <w:bodyDiv w:val="1"/>
      <w:marLeft w:val="0"/>
      <w:marRight w:val="0"/>
      <w:marTop w:val="0"/>
      <w:marBottom w:val="0"/>
      <w:divBdr>
        <w:top w:val="none" w:sz="0" w:space="0" w:color="auto"/>
        <w:left w:val="none" w:sz="0" w:space="0" w:color="auto"/>
        <w:bottom w:val="none" w:sz="0" w:space="0" w:color="auto"/>
        <w:right w:val="none" w:sz="0" w:space="0" w:color="auto"/>
      </w:divBdr>
    </w:div>
    <w:div w:id="13463259">
      <w:bodyDiv w:val="1"/>
      <w:marLeft w:val="0"/>
      <w:marRight w:val="0"/>
      <w:marTop w:val="0"/>
      <w:marBottom w:val="0"/>
      <w:divBdr>
        <w:top w:val="none" w:sz="0" w:space="0" w:color="auto"/>
        <w:left w:val="none" w:sz="0" w:space="0" w:color="auto"/>
        <w:bottom w:val="none" w:sz="0" w:space="0" w:color="auto"/>
        <w:right w:val="none" w:sz="0" w:space="0" w:color="auto"/>
      </w:divBdr>
    </w:div>
    <w:div w:id="25564342">
      <w:bodyDiv w:val="1"/>
      <w:marLeft w:val="0"/>
      <w:marRight w:val="0"/>
      <w:marTop w:val="0"/>
      <w:marBottom w:val="0"/>
      <w:divBdr>
        <w:top w:val="none" w:sz="0" w:space="0" w:color="auto"/>
        <w:left w:val="none" w:sz="0" w:space="0" w:color="auto"/>
        <w:bottom w:val="none" w:sz="0" w:space="0" w:color="auto"/>
        <w:right w:val="none" w:sz="0" w:space="0" w:color="auto"/>
      </w:divBdr>
    </w:div>
    <w:div w:id="47143708">
      <w:bodyDiv w:val="1"/>
      <w:marLeft w:val="0"/>
      <w:marRight w:val="0"/>
      <w:marTop w:val="0"/>
      <w:marBottom w:val="0"/>
      <w:divBdr>
        <w:top w:val="none" w:sz="0" w:space="0" w:color="auto"/>
        <w:left w:val="none" w:sz="0" w:space="0" w:color="auto"/>
        <w:bottom w:val="none" w:sz="0" w:space="0" w:color="auto"/>
        <w:right w:val="none" w:sz="0" w:space="0" w:color="auto"/>
      </w:divBdr>
    </w:div>
    <w:div w:id="69158409">
      <w:bodyDiv w:val="1"/>
      <w:marLeft w:val="0"/>
      <w:marRight w:val="0"/>
      <w:marTop w:val="0"/>
      <w:marBottom w:val="0"/>
      <w:divBdr>
        <w:top w:val="none" w:sz="0" w:space="0" w:color="auto"/>
        <w:left w:val="none" w:sz="0" w:space="0" w:color="auto"/>
        <w:bottom w:val="none" w:sz="0" w:space="0" w:color="auto"/>
        <w:right w:val="none" w:sz="0" w:space="0" w:color="auto"/>
      </w:divBdr>
    </w:div>
    <w:div w:id="100340323">
      <w:bodyDiv w:val="1"/>
      <w:marLeft w:val="0"/>
      <w:marRight w:val="0"/>
      <w:marTop w:val="0"/>
      <w:marBottom w:val="0"/>
      <w:divBdr>
        <w:top w:val="none" w:sz="0" w:space="0" w:color="auto"/>
        <w:left w:val="none" w:sz="0" w:space="0" w:color="auto"/>
        <w:bottom w:val="none" w:sz="0" w:space="0" w:color="auto"/>
        <w:right w:val="none" w:sz="0" w:space="0" w:color="auto"/>
      </w:divBdr>
    </w:div>
    <w:div w:id="101415174">
      <w:bodyDiv w:val="1"/>
      <w:marLeft w:val="0"/>
      <w:marRight w:val="0"/>
      <w:marTop w:val="0"/>
      <w:marBottom w:val="0"/>
      <w:divBdr>
        <w:top w:val="none" w:sz="0" w:space="0" w:color="auto"/>
        <w:left w:val="none" w:sz="0" w:space="0" w:color="auto"/>
        <w:bottom w:val="none" w:sz="0" w:space="0" w:color="auto"/>
        <w:right w:val="none" w:sz="0" w:space="0" w:color="auto"/>
      </w:divBdr>
    </w:div>
    <w:div w:id="105200220">
      <w:bodyDiv w:val="1"/>
      <w:marLeft w:val="0"/>
      <w:marRight w:val="0"/>
      <w:marTop w:val="0"/>
      <w:marBottom w:val="0"/>
      <w:divBdr>
        <w:top w:val="none" w:sz="0" w:space="0" w:color="auto"/>
        <w:left w:val="none" w:sz="0" w:space="0" w:color="auto"/>
        <w:bottom w:val="none" w:sz="0" w:space="0" w:color="auto"/>
        <w:right w:val="none" w:sz="0" w:space="0" w:color="auto"/>
      </w:divBdr>
    </w:div>
    <w:div w:id="109589498">
      <w:bodyDiv w:val="1"/>
      <w:marLeft w:val="0"/>
      <w:marRight w:val="0"/>
      <w:marTop w:val="0"/>
      <w:marBottom w:val="0"/>
      <w:divBdr>
        <w:top w:val="none" w:sz="0" w:space="0" w:color="auto"/>
        <w:left w:val="none" w:sz="0" w:space="0" w:color="auto"/>
        <w:bottom w:val="none" w:sz="0" w:space="0" w:color="auto"/>
        <w:right w:val="none" w:sz="0" w:space="0" w:color="auto"/>
      </w:divBdr>
    </w:div>
    <w:div w:id="112985582">
      <w:bodyDiv w:val="1"/>
      <w:marLeft w:val="0"/>
      <w:marRight w:val="0"/>
      <w:marTop w:val="0"/>
      <w:marBottom w:val="0"/>
      <w:divBdr>
        <w:top w:val="none" w:sz="0" w:space="0" w:color="auto"/>
        <w:left w:val="none" w:sz="0" w:space="0" w:color="auto"/>
        <w:bottom w:val="none" w:sz="0" w:space="0" w:color="auto"/>
        <w:right w:val="none" w:sz="0" w:space="0" w:color="auto"/>
      </w:divBdr>
    </w:div>
    <w:div w:id="123470679">
      <w:bodyDiv w:val="1"/>
      <w:marLeft w:val="0"/>
      <w:marRight w:val="0"/>
      <w:marTop w:val="0"/>
      <w:marBottom w:val="0"/>
      <w:divBdr>
        <w:top w:val="none" w:sz="0" w:space="0" w:color="auto"/>
        <w:left w:val="none" w:sz="0" w:space="0" w:color="auto"/>
        <w:bottom w:val="none" w:sz="0" w:space="0" w:color="auto"/>
        <w:right w:val="none" w:sz="0" w:space="0" w:color="auto"/>
      </w:divBdr>
    </w:div>
    <w:div w:id="124659178">
      <w:bodyDiv w:val="1"/>
      <w:marLeft w:val="0"/>
      <w:marRight w:val="0"/>
      <w:marTop w:val="0"/>
      <w:marBottom w:val="0"/>
      <w:divBdr>
        <w:top w:val="none" w:sz="0" w:space="0" w:color="auto"/>
        <w:left w:val="none" w:sz="0" w:space="0" w:color="auto"/>
        <w:bottom w:val="none" w:sz="0" w:space="0" w:color="auto"/>
        <w:right w:val="none" w:sz="0" w:space="0" w:color="auto"/>
      </w:divBdr>
    </w:div>
    <w:div w:id="126363502">
      <w:bodyDiv w:val="1"/>
      <w:marLeft w:val="0"/>
      <w:marRight w:val="0"/>
      <w:marTop w:val="0"/>
      <w:marBottom w:val="0"/>
      <w:divBdr>
        <w:top w:val="none" w:sz="0" w:space="0" w:color="auto"/>
        <w:left w:val="none" w:sz="0" w:space="0" w:color="auto"/>
        <w:bottom w:val="none" w:sz="0" w:space="0" w:color="auto"/>
        <w:right w:val="none" w:sz="0" w:space="0" w:color="auto"/>
      </w:divBdr>
    </w:div>
    <w:div w:id="126557455">
      <w:bodyDiv w:val="1"/>
      <w:marLeft w:val="0"/>
      <w:marRight w:val="0"/>
      <w:marTop w:val="0"/>
      <w:marBottom w:val="0"/>
      <w:divBdr>
        <w:top w:val="none" w:sz="0" w:space="0" w:color="auto"/>
        <w:left w:val="none" w:sz="0" w:space="0" w:color="auto"/>
        <w:bottom w:val="none" w:sz="0" w:space="0" w:color="auto"/>
        <w:right w:val="none" w:sz="0" w:space="0" w:color="auto"/>
      </w:divBdr>
    </w:div>
    <w:div w:id="191312260">
      <w:bodyDiv w:val="1"/>
      <w:marLeft w:val="0"/>
      <w:marRight w:val="0"/>
      <w:marTop w:val="0"/>
      <w:marBottom w:val="0"/>
      <w:divBdr>
        <w:top w:val="none" w:sz="0" w:space="0" w:color="auto"/>
        <w:left w:val="none" w:sz="0" w:space="0" w:color="auto"/>
        <w:bottom w:val="none" w:sz="0" w:space="0" w:color="auto"/>
        <w:right w:val="none" w:sz="0" w:space="0" w:color="auto"/>
      </w:divBdr>
    </w:div>
    <w:div w:id="205290110">
      <w:bodyDiv w:val="1"/>
      <w:marLeft w:val="0"/>
      <w:marRight w:val="0"/>
      <w:marTop w:val="0"/>
      <w:marBottom w:val="0"/>
      <w:divBdr>
        <w:top w:val="none" w:sz="0" w:space="0" w:color="auto"/>
        <w:left w:val="none" w:sz="0" w:space="0" w:color="auto"/>
        <w:bottom w:val="none" w:sz="0" w:space="0" w:color="auto"/>
        <w:right w:val="none" w:sz="0" w:space="0" w:color="auto"/>
      </w:divBdr>
    </w:div>
    <w:div w:id="210849771">
      <w:bodyDiv w:val="1"/>
      <w:marLeft w:val="0"/>
      <w:marRight w:val="0"/>
      <w:marTop w:val="0"/>
      <w:marBottom w:val="0"/>
      <w:divBdr>
        <w:top w:val="none" w:sz="0" w:space="0" w:color="auto"/>
        <w:left w:val="none" w:sz="0" w:space="0" w:color="auto"/>
        <w:bottom w:val="none" w:sz="0" w:space="0" w:color="auto"/>
        <w:right w:val="none" w:sz="0" w:space="0" w:color="auto"/>
      </w:divBdr>
    </w:div>
    <w:div w:id="215968607">
      <w:bodyDiv w:val="1"/>
      <w:marLeft w:val="0"/>
      <w:marRight w:val="0"/>
      <w:marTop w:val="0"/>
      <w:marBottom w:val="0"/>
      <w:divBdr>
        <w:top w:val="none" w:sz="0" w:space="0" w:color="auto"/>
        <w:left w:val="none" w:sz="0" w:space="0" w:color="auto"/>
        <w:bottom w:val="none" w:sz="0" w:space="0" w:color="auto"/>
        <w:right w:val="none" w:sz="0" w:space="0" w:color="auto"/>
      </w:divBdr>
    </w:div>
    <w:div w:id="218830349">
      <w:bodyDiv w:val="1"/>
      <w:marLeft w:val="0"/>
      <w:marRight w:val="0"/>
      <w:marTop w:val="0"/>
      <w:marBottom w:val="0"/>
      <w:divBdr>
        <w:top w:val="none" w:sz="0" w:space="0" w:color="auto"/>
        <w:left w:val="none" w:sz="0" w:space="0" w:color="auto"/>
        <w:bottom w:val="none" w:sz="0" w:space="0" w:color="auto"/>
        <w:right w:val="none" w:sz="0" w:space="0" w:color="auto"/>
      </w:divBdr>
    </w:div>
    <w:div w:id="244151793">
      <w:bodyDiv w:val="1"/>
      <w:marLeft w:val="0"/>
      <w:marRight w:val="0"/>
      <w:marTop w:val="0"/>
      <w:marBottom w:val="0"/>
      <w:divBdr>
        <w:top w:val="none" w:sz="0" w:space="0" w:color="auto"/>
        <w:left w:val="none" w:sz="0" w:space="0" w:color="auto"/>
        <w:bottom w:val="none" w:sz="0" w:space="0" w:color="auto"/>
        <w:right w:val="none" w:sz="0" w:space="0" w:color="auto"/>
      </w:divBdr>
    </w:div>
    <w:div w:id="247347654">
      <w:bodyDiv w:val="1"/>
      <w:marLeft w:val="0"/>
      <w:marRight w:val="0"/>
      <w:marTop w:val="0"/>
      <w:marBottom w:val="0"/>
      <w:divBdr>
        <w:top w:val="none" w:sz="0" w:space="0" w:color="auto"/>
        <w:left w:val="none" w:sz="0" w:space="0" w:color="auto"/>
        <w:bottom w:val="none" w:sz="0" w:space="0" w:color="auto"/>
        <w:right w:val="none" w:sz="0" w:space="0" w:color="auto"/>
      </w:divBdr>
    </w:div>
    <w:div w:id="254485755">
      <w:bodyDiv w:val="1"/>
      <w:marLeft w:val="0"/>
      <w:marRight w:val="0"/>
      <w:marTop w:val="0"/>
      <w:marBottom w:val="0"/>
      <w:divBdr>
        <w:top w:val="none" w:sz="0" w:space="0" w:color="auto"/>
        <w:left w:val="none" w:sz="0" w:space="0" w:color="auto"/>
        <w:bottom w:val="none" w:sz="0" w:space="0" w:color="auto"/>
        <w:right w:val="none" w:sz="0" w:space="0" w:color="auto"/>
      </w:divBdr>
    </w:div>
    <w:div w:id="316765582">
      <w:bodyDiv w:val="1"/>
      <w:marLeft w:val="0"/>
      <w:marRight w:val="0"/>
      <w:marTop w:val="0"/>
      <w:marBottom w:val="0"/>
      <w:divBdr>
        <w:top w:val="none" w:sz="0" w:space="0" w:color="auto"/>
        <w:left w:val="none" w:sz="0" w:space="0" w:color="auto"/>
        <w:bottom w:val="none" w:sz="0" w:space="0" w:color="auto"/>
        <w:right w:val="none" w:sz="0" w:space="0" w:color="auto"/>
      </w:divBdr>
    </w:div>
    <w:div w:id="322200033">
      <w:bodyDiv w:val="1"/>
      <w:marLeft w:val="0"/>
      <w:marRight w:val="0"/>
      <w:marTop w:val="0"/>
      <w:marBottom w:val="0"/>
      <w:divBdr>
        <w:top w:val="none" w:sz="0" w:space="0" w:color="auto"/>
        <w:left w:val="none" w:sz="0" w:space="0" w:color="auto"/>
        <w:bottom w:val="none" w:sz="0" w:space="0" w:color="auto"/>
        <w:right w:val="none" w:sz="0" w:space="0" w:color="auto"/>
      </w:divBdr>
    </w:div>
    <w:div w:id="334309320">
      <w:bodyDiv w:val="1"/>
      <w:marLeft w:val="0"/>
      <w:marRight w:val="0"/>
      <w:marTop w:val="0"/>
      <w:marBottom w:val="0"/>
      <w:divBdr>
        <w:top w:val="none" w:sz="0" w:space="0" w:color="auto"/>
        <w:left w:val="none" w:sz="0" w:space="0" w:color="auto"/>
        <w:bottom w:val="none" w:sz="0" w:space="0" w:color="auto"/>
        <w:right w:val="none" w:sz="0" w:space="0" w:color="auto"/>
      </w:divBdr>
    </w:div>
    <w:div w:id="336150945">
      <w:bodyDiv w:val="1"/>
      <w:marLeft w:val="0"/>
      <w:marRight w:val="0"/>
      <w:marTop w:val="0"/>
      <w:marBottom w:val="0"/>
      <w:divBdr>
        <w:top w:val="none" w:sz="0" w:space="0" w:color="auto"/>
        <w:left w:val="none" w:sz="0" w:space="0" w:color="auto"/>
        <w:bottom w:val="none" w:sz="0" w:space="0" w:color="auto"/>
        <w:right w:val="none" w:sz="0" w:space="0" w:color="auto"/>
      </w:divBdr>
    </w:div>
    <w:div w:id="345207989">
      <w:bodyDiv w:val="1"/>
      <w:marLeft w:val="0"/>
      <w:marRight w:val="0"/>
      <w:marTop w:val="0"/>
      <w:marBottom w:val="0"/>
      <w:divBdr>
        <w:top w:val="none" w:sz="0" w:space="0" w:color="auto"/>
        <w:left w:val="none" w:sz="0" w:space="0" w:color="auto"/>
        <w:bottom w:val="none" w:sz="0" w:space="0" w:color="auto"/>
        <w:right w:val="none" w:sz="0" w:space="0" w:color="auto"/>
      </w:divBdr>
    </w:div>
    <w:div w:id="371542121">
      <w:bodyDiv w:val="1"/>
      <w:marLeft w:val="0"/>
      <w:marRight w:val="0"/>
      <w:marTop w:val="0"/>
      <w:marBottom w:val="0"/>
      <w:divBdr>
        <w:top w:val="none" w:sz="0" w:space="0" w:color="auto"/>
        <w:left w:val="none" w:sz="0" w:space="0" w:color="auto"/>
        <w:bottom w:val="none" w:sz="0" w:space="0" w:color="auto"/>
        <w:right w:val="none" w:sz="0" w:space="0" w:color="auto"/>
      </w:divBdr>
    </w:div>
    <w:div w:id="396124952">
      <w:bodyDiv w:val="1"/>
      <w:marLeft w:val="0"/>
      <w:marRight w:val="0"/>
      <w:marTop w:val="0"/>
      <w:marBottom w:val="0"/>
      <w:divBdr>
        <w:top w:val="none" w:sz="0" w:space="0" w:color="auto"/>
        <w:left w:val="none" w:sz="0" w:space="0" w:color="auto"/>
        <w:bottom w:val="none" w:sz="0" w:space="0" w:color="auto"/>
        <w:right w:val="none" w:sz="0" w:space="0" w:color="auto"/>
      </w:divBdr>
    </w:div>
    <w:div w:id="415059661">
      <w:bodyDiv w:val="1"/>
      <w:marLeft w:val="0"/>
      <w:marRight w:val="0"/>
      <w:marTop w:val="0"/>
      <w:marBottom w:val="0"/>
      <w:divBdr>
        <w:top w:val="none" w:sz="0" w:space="0" w:color="auto"/>
        <w:left w:val="none" w:sz="0" w:space="0" w:color="auto"/>
        <w:bottom w:val="none" w:sz="0" w:space="0" w:color="auto"/>
        <w:right w:val="none" w:sz="0" w:space="0" w:color="auto"/>
      </w:divBdr>
    </w:div>
    <w:div w:id="436095921">
      <w:bodyDiv w:val="1"/>
      <w:marLeft w:val="0"/>
      <w:marRight w:val="0"/>
      <w:marTop w:val="0"/>
      <w:marBottom w:val="0"/>
      <w:divBdr>
        <w:top w:val="none" w:sz="0" w:space="0" w:color="auto"/>
        <w:left w:val="none" w:sz="0" w:space="0" w:color="auto"/>
        <w:bottom w:val="none" w:sz="0" w:space="0" w:color="auto"/>
        <w:right w:val="none" w:sz="0" w:space="0" w:color="auto"/>
      </w:divBdr>
    </w:div>
    <w:div w:id="442577250">
      <w:bodyDiv w:val="1"/>
      <w:marLeft w:val="0"/>
      <w:marRight w:val="0"/>
      <w:marTop w:val="0"/>
      <w:marBottom w:val="0"/>
      <w:divBdr>
        <w:top w:val="none" w:sz="0" w:space="0" w:color="auto"/>
        <w:left w:val="none" w:sz="0" w:space="0" w:color="auto"/>
        <w:bottom w:val="none" w:sz="0" w:space="0" w:color="auto"/>
        <w:right w:val="none" w:sz="0" w:space="0" w:color="auto"/>
      </w:divBdr>
    </w:div>
    <w:div w:id="445467820">
      <w:bodyDiv w:val="1"/>
      <w:marLeft w:val="0"/>
      <w:marRight w:val="0"/>
      <w:marTop w:val="0"/>
      <w:marBottom w:val="0"/>
      <w:divBdr>
        <w:top w:val="none" w:sz="0" w:space="0" w:color="auto"/>
        <w:left w:val="none" w:sz="0" w:space="0" w:color="auto"/>
        <w:bottom w:val="none" w:sz="0" w:space="0" w:color="auto"/>
        <w:right w:val="none" w:sz="0" w:space="0" w:color="auto"/>
      </w:divBdr>
    </w:div>
    <w:div w:id="490801838">
      <w:bodyDiv w:val="1"/>
      <w:marLeft w:val="0"/>
      <w:marRight w:val="0"/>
      <w:marTop w:val="0"/>
      <w:marBottom w:val="0"/>
      <w:divBdr>
        <w:top w:val="none" w:sz="0" w:space="0" w:color="auto"/>
        <w:left w:val="none" w:sz="0" w:space="0" w:color="auto"/>
        <w:bottom w:val="none" w:sz="0" w:space="0" w:color="auto"/>
        <w:right w:val="none" w:sz="0" w:space="0" w:color="auto"/>
      </w:divBdr>
    </w:div>
    <w:div w:id="537744673">
      <w:bodyDiv w:val="1"/>
      <w:marLeft w:val="0"/>
      <w:marRight w:val="0"/>
      <w:marTop w:val="0"/>
      <w:marBottom w:val="0"/>
      <w:divBdr>
        <w:top w:val="none" w:sz="0" w:space="0" w:color="auto"/>
        <w:left w:val="none" w:sz="0" w:space="0" w:color="auto"/>
        <w:bottom w:val="none" w:sz="0" w:space="0" w:color="auto"/>
        <w:right w:val="none" w:sz="0" w:space="0" w:color="auto"/>
      </w:divBdr>
    </w:div>
    <w:div w:id="568031267">
      <w:bodyDiv w:val="1"/>
      <w:marLeft w:val="0"/>
      <w:marRight w:val="0"/>
      <w:marTop w:val="0"/>
      <w:marBottom w:val="0"/>
      <w:divBdr>
        <w:top w:val="none" w:sz="0" w:space="0" w:color="auto"/>
        <w:left w:val="none" w:sz="0" w:space="0" w:color="auto"/>
        <w:bottom w:val="none" w:sz="0" w:space="0" w:color="auto"/>
        <w:right w:val="none" w:sz="0" w:space="0" w:color="auto"/>
      </w:divBdr>
    </w:div>
    <w:div w:id="590358957">
      <w:bodyDiv w:val="1"/>
      <w:marLeft w:val="0"/>
      <w:marRight w:val="0"/>
      <w:marTop w:val="0"/>
      <w:marBottom w:val="0"/>
      <w:divBdr>
        <w:top w:val="none" w:sz="0" w:space="0" w:color="auto"/>
        <w:left w:val="none" w:sz="0" w:space="0" w:color="auto"/>
        <w:bottom w:val="none" w:sz="0" w:space="0" w:color="auto"/>
        <w:right w:val="none" w:sz="0" w:space="0" w:color="auto"/>
      </w:divBdr>
    </w:div>
    <w:div w:id="607783592">
      <w:bodyDiv w:val="1"/>
      <w:marLeft w:val="0"/>
      <w:marRight w:val="0"/>
      <w:marTop w:val="0"/>
      <w:marBottom w:val="0"/>
      <w:divBdr>
        <w:top w:val="none" w:sz="0" w:space="0" w:color="auto"/>
        <w:left w:val="none" w:sz="0" w:space="0" w:color="auto"/>
        <w:bottom w:val="none" w:sz="0" w:space="0" w:color="auto"/>
        <w:right w:val="none" w:sz="0" w:space="0" w:color="auto"/>
      </w:divBdr>
    </w:div>
    <w:div w:id="622659134">
      <w:bodyDiv w:val="1"/>
      <w:marLeft w:val="0"/>
      <w:marRight w:val="0"/>
      <w:marTop w:val="0"/>
      <w:marBottom w:val="0"/>
      <w:divBdr>
        <w:top w:val="none" w:sz="0" w:space="0" w:color="auto"/>
        <w:left w:val="none" w:sz="0" w:space="0" w:color="auto"/>
        <w:bottom w:val="none" w:sz="0" w:space="0" w:color="auto"/>
        <w:right w:val="none" w:sz="0" w:space="0" w:color="auto"/>
      </w:divBdr>
    </w:div>
    <w:div w:id="649986534">
      <w:bodyDiv w:val="1"/>
      <w:marLeft w:val="0"/>
      <w:marRight w:val="0"/>
      <w:marTop w:val="0"/>
      <w:marBottom w:val="0"/>
      <w:divBdr>
        <w:top w:val="none" w:sz="0" w:space="0" w:color="auto"/>
        <w:left w:val="none" w:sz="0" w:space="0" w:color="auto"/>
        <w:bottom w:val="none" w:sz="0" w:space="0" w:color="auto"/>
        <w:right w:val="none" w:sz="0" w:space="0" w:color="auto"/>
      </w:divBdr>
    </w:div>
    <w:div w:id="652562682">
      <w:bodyDiv w:val="1"/>
      <w:marLeft w:val="0"/>
      <w:marRight w:val="0"/>
      <w:marTop w:val="0"/>
      <w:marBottom w:val="0"/>
      <w:divBdr>
        <w:top w:val="none" w:sz="0" w:space="0" w:color="auto"/>
        <w:left w:val="none" w:sz="0" w:space="0" w:color="auto"/>
        <w:bottom w:val="none" w:sz="0" w:space="0" w:color="auto"/>
        <w:right w:val="none" w:sz="0" w:space="0" w:color="auto"/>
      </w:divBdr>
    </w:div>
    <w:div w:id="663969510">
      <w:bodyDiv w:val="1"/>
      <w:marLeft w:val="0"/>
      <w:marRight w:val="0"/>
      <w:marTop w:val="0"/>
      <w:marBottom w:val="0"/>
      <w:divBdr>
        <w:top w:val="none" w:sz="0" w:space="0" w:color="auto"/>
        <w:left w:val="none" w:sz="0" w:space="0" w:color="auto"/>
        <w:bottom w:val="none" w:sz="0" w:space="0" w:color="auto"/>
        <w:right w:val="none" w:sz="0" w:space="0" w:color="auto"/>
      </w:divBdr>
    </w:div>
    <w:div w:id="684743556">
      <w:bodyDiv w:val="1"/>
      <w:marLeft w:val="0"/>
      <w:marRight w:val="0"/>
      <w:marTop w:val="0"/>
      <w:marBottom w:val="0"/>
      <w:divBdr>
        <w:top w:val="none" w:sz="0" w:space="0" w:color="auto"/>
        <w:left w:val="none" w:sz="0" w:space="0" w:color="auto"/>
        <w:bottom w:val="none" w:sz="0" w:space="0" w:color="auto"/>
        <w:right w:val="none" w:sz="0" w:space="0" w:color="auto"/>
      </w:divBdr>
    </w:div>
    <w:div w:id="685250525">
      <w:bodyDiv w:val="1"/>
      <w:marLeft w:val="0"/>
      <w:marRight w:val="0"/>
      <w:marTop w:val="0"/>
      <w:marBottom w:val="0"/>
      <w:divBdr>
        <w:top w:val="none" w:sz="0" w:space="0" w:color="auto"/>
        <w:left w:val="none" w:sz="0" w:space="0" w:color="auto"/>
        <w:bottom w:val="none" w:sz="0" w:space="0" w:color="auto"/>
        <w:right w:val="none" w:sz="0" w:space="0" w:color="auto"/>
      </w:divBdr>
    </w:div>
    <w:div w:id="711611388">
      <w:bodyDiv w:val="1"/>
      <w:marLeft w:val="0"/>
      <w:marRight w:val="0"/>
      <w:marTop w:val="0"/>
      <w:marBottom w:val="0"/>
      <w:divBdr>
        <w:top w:val="none" w:sz="0" w:space="0" w:color="auto"/>
        <w:left w:val="none" w:sz="0" w:space="0" w:color="auto"/>
        <w:bottom w:val="none" w:sz="0" w:space="0" w:color="auto"/>
        <w:right w:val="none" w:sz="0" w:space="0" w:color="auto"/>
      </w:divBdr>
    </w:div>
    <w:div w:id="715202635">
      <w:bodyDiv w:val="1"/>
      <w:marLeft w:val="0"/>
      <w:marRight w:val="0"/>
      <w:marTop w:val="0"/>
      <w:marBottom w:val="0"/>
      <w:divBdr>
        <w:top w:val="none" w:sz="0" w:space="0" w:color="auto"/>
        <w:left w:val="none" w:sz="0" w:space="0" w:color="auto"/>
        <w:bottom w:val="none" w:sz="0" w:space="0" w:color="auto"/>
        <w:right w:val="none" w:sz="0" w:space="0" w:color="auto"/>
      </w:divBdr>
    </w:div>
    <w:div w:id="732198782">
      <w:bodyDiv w:val="1"/>
      <w:marLeft w:val="0"/>
      <w:marRight w:val="0"/>
      <w:marTop w:val="0"/>
      <w:marBottom w:val="0"/>
      <w:divBdr>
        <w:top w:val="none" w:sz="0" w:space="0" w:color="auto"/>
        <w:left w:val="none" w:sz="0" w:space="0" w:color="auto"/>
        <w:bottom w:val="none" w:sz="0" w:space="0" w:color="auto"/>
        <w:right w:val="none" w:sz="0" w:space="0" w:color="auto"/>
      </w:divBdr>
    </w:div>
    <w:div w:id="743062590">
      <w:bodyDiv w:val="1"/>
      <w:marLeft w:val="0"/>
      <w:marRight w:val="0"/>
      <w:marTop w:val="0"/>
      <w:marBottom w:val="0"/>
      <w:divBdr>
        <w:top w:val="none" w:sz="0" w:space="0" w:color="auto"/>
        <w:left w:val="none" w:sz="0" w:space="0" w:color="auto"/>
        <w:bottom w:val="none" w:sz="0" w:space="0" w:color="auto"/>
        <w:right w:val="none" w:sz="0" w:space="0" w:color="auto"/>
      </w:divBdr>
    </w:div>
    <w:div w:id="744105726">
      <w:bodyDiv w:val="1"/>
      <w:marLeft w:val="0"/>
      <w:marRight w:val="0"/>
      <w:marTop w:val="0"/>
      <w:marBottom w:val="0"/>
      <w:divBdr>
        <w:top w:val="none" w:sz="0" w:space="0" w:color="auto"/>
        <w:left w:val="none" w:sz="0" w:space="0" w:color="auto"/>
        <w:bottom w:val="none" w:sz="0" w:space="0" w:color="auto"/>
        <w:right w:val="none" w:sz="0" w:space="0" w:color="auto"/>
      </w:divBdr>
    </w:div>
    <w:div w:id="773525231">
      <w:bodyDiv w:val="1"/>
      <w:marLeft w:val="0"/>
      <w:marRight w:val="0"/>
      <w:marTop w:val="0"/>
      <w:marBottom w:val="0"/>
      <w:divBdr>
        <w:top w:val="none" w:sz="0" w:space="0" w:color="auto"/>
        <w:left w:val="none" w:sz="0" w:space="0" w:color="auto"/>
        <w:bottom w:val="none" w:sz="0" w:space="0" w:color="auto"/>
        <w:right w:val="none" w:sz="0" w:space="0" w:color="auto"/>
      </w:divBdr>
    </w:div>
    <w:div w:id="812523234">
      <w:bodyDiv w:val="1"/>
      <w:marLeft w:val="0"/>
      <w:marRight w:val="0"/>
      <w:marTop w:val="0"/>
      <w:marBottom w:val="0"/>
      <w:divBdr>
        <w:top w:val="none" w:sz="0" w:space="0" w:color="auto"/>
        <w:left w:val="none" w:sz="0" w:space="0" w:color="auto"/>
        <w:bottom w:val="none" w:sz="0" w:space="0" w:color="auto"/>
        <w:right w:val="none" w:sz="0" w:space="0" w:color="auto"/>
      </w:divBdr>
    </w:div>
    <w:div w:id="816915332">
      <w:bodyDiv w:val="1"/>
      <w:marLeft w:val="0"/>
      <w:marRight w:val="0"/>
      <w:marTop w:val="0"/>
      <w:marBottom w:val="0"/>
      <w:divBdr>
        <w:top w:val="none" w:sz="0" w:space="0" w:color="auto"/>
        <w:left w:val="none" w:sz="0" w:space="0" w:color="auto"/>
        <w:bottom w:val="none" w:sz="0" w:space="0" w:color="auto"/>
        <w:right w:val="none" w:sz="0" w:space="0" w:color="auto"/>
      </w:divBdr>
    </w:div>
    <w:div w:id="849493326">
      <w:bodyDiv w:val="1"/>
      <w:marLeft w:val="0"/>
      <w:marRight w:val="0"/>
      <w:marTop w:val="0"/>
      <w:marBottom w:val="0"/>
      <w:divBdr>
        <w:top w:val="none" w:sz="0" w:space="0" w:color="auto"/>
        <w:left w:val="none" w:sz="0" w:space="0" w:color="auto"/>
        <w:bottom w:val="none" w:sz="0" w:space="0" w:color="auto"/>
        <w:right w:val="none" w:sz="0" w:space="0" w:color="auto"/>
      </w:divBdr>
    </w:div>
    <w:div w:id="856188668">
      <w:bodyDiv w:val="1"/>
      <w:marLeft w:val="0"/>
      <w:marRight w:val="0"/>
      <w:marTop w:val="0"/>
      <w:marBottom w:val="0"/>
      <w:divBdr>
        <w:top w:val="none" w:sz="0" w:space="0" w:color="auto"/>
        <w:left w:val="none" w:sz="0" w:space="0" w:color="auto"/>
        <w:bottom w:val="none" w:sz="0" w:space="0" w:color="auto"/>
        <w:right w:val="none" w:sz="0" w:space="0" w:color="auto"/>
      </w:divBdr>
    </w:div>
    <w:div w:id="865024181">
      <w:bodyDiv w:val="1"/>
      <w:marLeft w:val="0"/>
      <w:marRight w:val="0"/>
      <w:marTop w:val="0"/>
      <w:marBottom w:val="0"/>
      <w:divBdr>
        <w:top w:val="none" w:sz="0" w:space="0" w:color="auto"/>
        <w:left w:val="none" w:sz="0" w:space="0" w:color="auto"/>
        <w:bottom w:val="none" w:sz="0" w:space="0" w:color="auto"/>
        <w:right w:val="none" w:sz="0" w:space="0" w:color="auto"/>
      </w:divBdr>
    </w:div>
    <w:div w:id="867059054">
      <w:bodyDiv w:val="1"/>
      <w:marLeft w:val="0"/>
      <w:marRight w:val="0"/>
      <w:marTop w:val="0"/>
      <w:marBottom w:val="0"/>
      <w:divBdr>
        <w:top w:val="none" w:sz="0" w:space="0" w:color="auto"/>
        <w:left w:val="none" w:sz="0" w:space="0" w:color="auto"/>
        <w:bottom w:val="none" w:sz="0" w:space="0" w:color="auto"/>
        <w:right w:val="none" w:sz="0" w:space="0" w:color="auto"/>
      </w:divBdr>
    </w:div>
    <w:div w:id="875316627">
      <w:bodyDiv w:val="1"/>
      <w:marLeft w:val="0"/>
      <w:marRight w:val="0"/>
      <w:marTop w:val="0"/>
      <w:marBottom w:val="0"/>
      <w:divBdr>
        <w:top w:val="none" w:sz="0" w:space="0" w:color="auto"/>
        <w:left w:val="none" w:sz="0" w:space="0" w:color="auto"/>
        <w:bottom w:val="none" w:sz="0" w:space="0" w:color="auto"/>
        <w:right w:val="none" w:sz="0" w:space="0" w:color="auto"/>
      </w:divBdr>
    </w:div>
    <w:div w:id="882790358">
      <w:bodyDiv w:val="1"/>
      <w:marLeft w:val="0"/>
      <w:marRight w:val="0"/>
      <w:marTop w:val="0"/>
      <w:marBottom w:val="0"/>
      <w:divBdr>
        <w:top w:val="none" w:sz="0" w:space="0" w:color="auto"/>
        <w:left w:val="none" w:sz="0" w:space="0" w:color="auto"/>
        <w:bottom w:val="none" w:sz="0" w:space="0" w:color="auto"/>
        <w:right w:val="none" w:sz="0" w:space="0" w:color="auto"/>
      </w:divBdr>
    </w:div>
    <w:div w:id="889997145">
      <w:bodyDiv w:val="1"/>
      <w:marLeft w:val="0"/>
      <w:marRight w:val="0"/>
      <w:marTop w:val="0"/>
      <w:marBottom w:val="0"/>
      <w:divBdr>
        <w:top w:val="none" w:sz="0" w:space="0" w:color="auto"/>
        <w:left w:val="none" w:sz="0" w:space="0" w:color="auto"/>
        <w:bottom w:val="none" w:sz="0" w:space="0" w:color="auto"/>
        <w:right w:val="none" w:sz="0" w:space="0" w:color="auto"/>
      </w:divBdr>
    </w:div>
    <w:div w:id="897397022">
      <w:bodyDiv w:val="1"/>
      <w:marLeft w:val="0"/>
      <w:marRight w:val="0"/>
      <w:marTop w:val="0"/>
      <w:marBottom w:val="0"/>
      <w:divBdr>
        <w:top w:val="none" w:sz="0" w:space="0" w:color="auto"/>
        <w:left w:val="none" w:sz="0" w:space="0" w:color="auto"/>
        <w:bottom w:val="none" w:sz="0" w:space="0" w:color="auto"/>
        <w:right w:val="none" w:sz="0" w:space="0" w:color="auto"/>
      </w:divBdr>
    </w:div>
    <w:div w:id="919825684">
      <w:bodyDiv w:val="1"/>
      <w:marLeft w:val="0"/>
      <w:marRight w:val="0"/>
      <w:marTop w:val="0"/>
      <w:marBottom w:val="0"/>
      <w:divBdr>
        <w:top w:val="none" w:sz="0" w:space="0" w:color="auto"/>
        <w:left w:val="none" w:sz="0" w:space="0" w:color="auto"/>
        <w:bottom w:val="none" w:sz="0" w:space="0" w:color="auto"/>
        <w:right w:val="none" w:sz="0" w:space="0" w:color="auto"/>
      </w:divBdr>
    </w:div>
    <w:div w:id="921059712">
      <w:bodyDiv w:val="1"/>
      <w:marLeft w:val="0"/>
      <w:marRight w:val="0"/>
      <w:marTop w:val="0"/>
      <w:marBottom w:val="0"/>
      <w:divBdr>
        <w:top w:val="none" w:sz="0" w:space="0" w:color="auto"/>
        <w:left w:val="none" w:sz="0" w:space="0" w:color="auto"/>
        <w:bottom w:val="none" w:sz="0" w:space="0" w:color="auto"/>
        <w:right w:val="none" w:sz="0" w:space="0" w:color="auto"/>
      </w:divBdr>
    </w:div>
    <w:div w:id="928468359">
      <w:bodyDiv w:val="1"/>
      <w:marLeft w:val="0"/>
      <w:marRight w:val="0"/>
      <w:marTop w:val="0"/>
      <w:marBottom w:val="0"/>
      <w:divBdr>
        <w:top w:val="none" w:sz="0" w:space="0" w:color="auto"/>
        <w:left w:val="none" w:sz="0" w:space="0" w:color="auto"/>
        <w:bottom w:val="none" w:sz="0" w:space="0" w:color="auto"/>
        <w:right w:val="none" w:sz="0" w:space="0" w:color="auto"/>
      </w:divBdr>
    </w:div>
    <w:div w:id="948968259">
      <w:bodyDiv w:val="1"/>
      <w:marLeft w:val="0"/>
      <w:marRight w:val="0"/>
      <w:marTop w:val="0"/>
      <w:marBottom w:val="0"/>
      <w:divBdr>
        <w:top w:val="none" w:sz="0" w:space="0" w:color="auto"/>
        <w:left w:val="none" w:sz="0" w:space="0" w:color="auto"/>
        <w:bottom w:val="none" w:sz="0" w:space="0" w:color="auto"/>
        <w:right w:val="none" w:sz="0" w:space="0" w:color="auto"/>
      </w:divBdr>
    </w:div>
    <w:div w:id="968318257">
      <w:bodyDiv w:val="1"/>
      <w:marLeft w:val="0"/>
      <w:marRight w:val="0"/>
      <w:marTop w:val="0"/>
      <w:marBottom w:val="0"/>
      <w:divBdr>
        <w:top w:val="none" w:sz="0" w:space="0" w:color="auto"/>
        <w:left w:val="none" w:sz="0" w:space="0" w:color="auto"/>
        <w:bottom w:val="none" w:sz="0" w:space="0" w:color="auto"/>
        <w:right w:val="none" w:sz="0" w:space="0" w:color="auto"/>
      </w:divBdr>
    </w:div>
    <w:div w:id="981424753">
      <w:bodyDiv w:val="1"/>
      <w:marLeft w:val="0"/>
      <w:marRight w:val="0"/>
      <w:marTop w:val="0"/>
      <w:marBottom w:val="0"/>
      <w:divBdr>
        <w:top w:val="none" w:sz="0" w:space="0" w:color="auto"/>
        <w:left w:val="none" w:sz="0" w:space="0" w:color="auto"/>
        <w:bottom w:val="none" w:sz="0" w:space="0" w:color="auto"/>
        <w:right w:val="none" w:sz="0" w:space="0" w:color="auto"/>
      </w:divBdr>
    </w:div>
    <w:div w:id="1003781378">
      <w:bodyDiv w:val="1"/>
      <w:marLeft w:val="0"/>
      <w:marRight w:val="0"/>
      <w:marTop w:val="0"/>
      <w:marBottom w:val="0"/>
      <w:divBdr>
        <w:top w:val="none" w:sz="0" w:space="0" w:color="auto"/>
        <w:left w:val="none" w:sz="0" w:space="0" w:color="auto"/>
        <w:bottom w:val="none" w:sz="0" w:space="0" w:color="auto"/>
        <w:right w:val="none" w:sz="0" w:space="0" w:color="auto"/>
      </w:divBdr>
    </w:div>
    <w:div w:id="1009867488">
      <w:bodyDiv w:val="1"/>
      <w:marLeft w:val="0"/>
      <w:marRight w:val="0"/>
      <w:marTop w:val="0"/>
      <w:marBottom w:val="0"/>
      <w:divBdr>
        <w:top w:val="none" w:sz="0" w:space="0" w:color="auto"/>
        <w:left w:val="none" w:sz="0" w:space="0" w:color="auto"/>
        <w:bottom w:val="none" w:sz="0" w:space="0" w:color="auto"/>
        <w:right w:val="none" w:sz="0" w:space="0" w:color="auto"/>
      </w:divBdr>
    </w:div>
    <w:div w:id="1011956457">
      <w:bodyDiv w:val="1"/>
      <w:marLeft w:val="0"/>
      <w:marRight w:val="0"/>
      <w:marTop w:val="0"/>
      <w:marBottom w:val="0"/>
      <w:divBdr>
        <w:top w:val="none" w:sz="0" w:space="0" w:color="auto"/>
        <w:left w:val="none" w:sz="0" w:space="0" w:color="auto"/>
        <w:bottom w:val="none" w:sz="0" w:space="0" w:color="auto"/>
        <w:right w:val="none" w:sz="0" w:space="0" w:color="auto"/>
      </w:divBdr>
    </w:div>
    <w:div w:id="1012730809">
      <w:bodyDiv w:val="1"/>
      <w:marLeft w:val="0"/>
      <w:marRight w:val="0"/>
      <w:marTop w:val="0"/>
      <w:marBottom w:val="0"/>
      <w:divBdr>
        <w:top w:val="none" w:sz="0" w:space="0" w:color="auto"/>
        <w:left w:val="none" w:sz="0" w:space="0" w:color="auto"/>
        <w:bottom w:val="none" w:sz="0" w:space="0" w:color="auto"/>
        <w:right w:val="none" w:sz="0" w:space="0" w:color="auto"/>
      </w:divBdr>
    </w:div>
    <w:div w:id="1013802585">
      <w:bodyDiv w:val="1"/>
      <w:marLeft w:val="0"/>
      <w:marRight w:val="0"/>
      <w:marTop w:val="0"/>
      <w:marBottom w:val="0"/>
      <w:divBdr>
        <w:top w:val="none" w:sz="0" w:space="0" w:color="auto"/>
        <w:left w:val="none" w:sz="0" w:space="0" w:color="auto"/>
        <w:bottom w:val="none" w:sz="0" w:space="0" w:color="auto"/>
        <w:right w:val="none" w:sz="0" w:space="0" w:color="auto"/>
      </w:divBdr>
    </w:div>
    <w:div w:id="1040324622">
      <w:bodyDiv w:val="1"/>
      <w:marLeft w:val="0"/>
      <w:marRight w:val="0"/>
      <w:marTop w:val="0"/>
      <w:marBottom w:val="0"/>
      <w:divBdr>
        <w:top w:val="none" w:sz="0" w:space="0" w:color="auto"/>
        <w:left w:val="none" w:sz="0" w:space="0" w:color="auto"/>
        <w:bottom w:val="none" w:sz="0" w:space="0" w:color="auto"/>
        <w:right w:val="none" w:sz="0" w:space="0" w:color="auto"/>
      </w:divBdr>
    </w:div>
    <w:div w:id="1056776197">
      <w:bodyDiv w:val="1"/>
      <w:marLeft w:val="0"/>
      <w:marRight w:val="0"/>
      <w:marTop w:val="0"/>
      <w:marBottom w:val="0"/>
      <w:divBdr>
        <w:top w:val="none" w:sz="0" w:space="0" w:color="auto"/>
        <w:left w:val="none" w:sz="0" w:space="0" w:color="auto"/>
        <w:bottom w:val="none" w:sz="0" w:space="0" w:color="auto"/>
        <w:right w:val="none" w:sz="0" w:space="0" w:color="auto"/>
      </w:divBdr>
    </w:div>
    <w:div w:id="1081367593">
      <w:bodyDiv w:val="1"/>
      <w:marLeft w:val="0"/>
      <w:marRight w:val="0"/>
      <w:marTop w:val="0"/>
      <w:marBottom w:val="0"/>
      <w:divBdr>
        <w:top w:val="none" w:sz="0" w:space="0" w:color="auto"/>
        <w:left w:val="none" w:sz="0" w:space="0" w:color="auto"/>
        <w:bottom w:val="none" w:sz="0" w:space="0" w:color="auto"/>
        <w:right w:val="none" w:sz="0" w:space="0" w:color="auto"/>
      </w:divBdr>
    </w:div>
    <w:div w:id="1082483155">
      <w:bodyDiv w:val="1"/>
      <w:marLeft w:val="0"/>
      <w:marRight w:val="0"/>
      <w:marTop w:val="0"/>
      <w:marBottom w:val="0"/>
      <w:divBdr>
        <w:top w:val="none" w:sz="0" w:space="0" w:color="auto"/>
        <w:left w:val="none" w:sz="0" w:space="0" w:color="auto"/>
        <w:bottom w:val="none" w:sz="0" w:space="0" w:color="auto"/>
        <w:right w:val="none" w:sz="0" w:space="0" w:color="auto"/>
      </w:divBdr>
    </w:div>
    <w:div w:id="1092236827">
      <w:bodyDiv w:val="1"/>
      <w:marLeft w:val="0"/>
      <w:marRight w:val="0"/>
      <w:marTop w:val="0"/>
      <w:marBottom w:val="0"/>
      <w:divBdr>
        <w:top w:val="none" w:sz="0" w:space="0" w:color="auto"/>
        <w:left w:val="none" w:sz="0" w:space="0" w:color="auto"/>
        <w:bottom w:val="none" w:sz="0" w:space="0" w:color="auto"/>
        <w:right w:val="none" w:sz="0" w:space="0" w:color="auto"/>
      </w:divBdr>
    </w:div>
    <w:div w:id="1092239337">
      <w:bodyDiv w:val="1"/>
      <w:marLeft w:val="0"/>
      <w:marRight w:val="0"/>
      <w:marTop w:val="0"/>
      <w:marBottom w:val="0"/>
      <w:divBdr>
        <w:top w:val="none" w:sz="0" w:space="0" w:color="auto"/>
        <w:left w:val="none" w:sz="0" w:space="0" w:color="auto"/>
        <w:bottom w:val="none" w:sz="0" w:space="0" w:color="auto"/>
        <w:right w:val="none" w:sz="0" w:space="0" w:color="auto"/>
      </w:divBdr>
    </w:div>
    <w:div w:id="1094012306">
      <w:bodyDiv w:val="1"/>
      <w:marLeft w:val="0"/>
      <w:marRight w:val="0"/>
      <w:marTop w:val="0"/>
      <w:marBottom w:val="0"/>
      <w:divBdr>
        <w:top w:val="none" w:sz="0" w:space="0" w:color="auto"/>
        <w:left w:val="none" w:sz="0" w:space="0" w:color="auto"/>
        <w:bottom w:val="none" w:sz="0" w:space="0" w:color="auto"/>
        <w:right w:val="none" w:sz="0" w:space="0" w:color="auto"/>
      </w:divBdr>
    </w:div>
    <w:div w:id="1122460445">
      <w:bodyDiv w:val="1"/>
      <w:marLeft w:val="0"/>
      <w:marRight w:val="0"/>
      <w:marTop w:val="0"/>
      <w:marBottom w:val="0"/>
      <w:divBdr>
        <w:top w:val="none" w:sz="0" w:space="0" w:color="auto"/>
        <w:left w:val="none" w:sz="0" w:space="0" w:color="auto"/>
        <w:bottom w:val="none" w:sz="0" w:space="0" w:color="auto"/>
        <w:right w:val="none" w:sz="0" w:space="0" w:color="auto"/>
      </w:divBdr>
    </w:div>
    <w:div w:id="1132484907">
      <w:bodyDiv w:val="1"/>
      <w:marLeft w:val="0"/>
      <w:marRight w:val="0"/>
      <w:marTop w:val="0"/>
      <w:marBottom w:val="0"/>
      <w:divBdr>
        <w:top w:val="none" w:sz="0" w:space="0" w:color="auto"/>
        <w:left w:val="none" w:sz="0" w:space="0" w:color="auto"/>
        <w:bottom w:val="none" w:sz="0" w:space="0" w:color="auto"/>
        <w:right w:val="none" w:sz="0" w:space="0" w:color="auto"/>
      </w:divBdr>
    </w:div>
    <w:div w:id="1151096217">
      <w:bodyDiv w:val="1"/>
      <w:marLeft w:val="0"/>
      <w:marRight w:val="0"/>
      <w:marTop w:val="0"/>
      <w:marBottom w:val="0"/>
      <w:divBdr>
        <w:top w:val="none" w:sz="0" w:space="0" w:color="auto"/>
        <w:left w:val="none" w:sz="0" w:space="0" w:color="auto"/>
        <w:bottom w:val="none" w:sz="0" w:space="0" w:color="auto"/>
        <w:right w:val="none" w:sz="0" w:space="0" w:color="auto"/>
      </w:divBdr>
    </w:div>
    <w:div w:id="1172526942">
      <w:bodyDiv w:val="1"/>
      <w:marLeft w:val="0"/>
      <w:marRight w:val="0"/>
      <w:marTop w:val="0"/>
      <w:marBottom w:val="0"/>
      <w:divBdr>
        <w:top w:val="none" w:sz="0" w:space="0" w:color="auto"/>
        <w:left w:val="none" w:sz="0" w:space="0" w:color="auto"/>
        <w:bottom w:val="none" w:sz="0" w:space="0" w:color="auto"/>
        <w:right w:val="none" w:sz="0" w:space="0" w:color="auto"/>
      </w:divBdr>
    </w:div>
    <w:div w:id="1179346926">
      <w:bodyDiv w:val="1"/>
      <w:marLeft w:val="0"/>
      <w:marRight w:val="0"/>
      <w:marTop w:val="0"/>
      <w:marBottom w:val="0"/>
      <w:divBdr>
        <w:top w:val="none" w:sz="0" w:space="0" w:color="auto"/>
        <w:left w:val="none" w:sz="0" w:space="0" w:color="auto"/>
        <w:bottom w:val="none" w:sz="0" w:space="0" w:color="auto"/>
        <w:right w:val="none" w:sz="0" w:space="0" w:color="auto"/>
      </w:divBdr>
    </w:div>
    <w:div w:id="1185902489">
      <w:bodyDiv w:val="1"/>
      <w:marLeft w:val="0"/>
      <w:marRight w:val="0"/>
      <w:marTop w:val="0"/>
      <w:marBottom w:val="0"/>
      <w:divBdr>
        <w:top w:val="none" w:sz="0" w:space="0" w:color="auto"/>
        <w:left w:val="none" w:sz="0" w:space="0" w:color="auto"/>
        <w:bottom w:val="none" w:sz="0" w:space="0" w:color="auto"/>
        <w:right w:val="none" w:sz="0" w:space="0" w:color="auto"/>
      </w:divBdr>
    </w:div>
    <w:div w:id="1199319598">
      <w:bodyDiv w:val="1"/>
      <w:marLeft w:val="0"/>
      <w:marRight w:val="0"/>
      <w:marTop w:val="0"/>
      <w:marBottom w:val="0"/>
      <w:divBdr>
        <w:top w:val="none" w:sz="0" w:space="0" w:color="auto"/>
        <w:left w:val="none" w:sz="0" w:space="0" w:color="auto"/>
        <w:bottom w:val="none" w:sz="0" w:space="0" w:color="auto"/>
        <w:right w:val="none" w:sz="0" w:space="0" w:color="auto"/>
      </w:divBdr>
    </w:div>
    <w:div w:id="1212962488">
      <w:bodyDiv w:val="1"/>
      <w:marLeft w:val="0"/>
      <w:marRight w:val="0"/>
      <w:marTop w:val="0"/>
      <w:marBottom w:val="0"/>
      <w:divBdr>
        <w:top w:val="none" w:sz="0" w:space="0" w:color="auto"/>
        <w:left w:val="none" w:sz="0" w:space="0" w:color="auto"/>
        <w:bottom w:val="none" w:sz="0" w:space="0" w:color="auto"/>
        <w:right w:val="none" w:sz="0" w:space="0" w:color="auto"/>
      </w:divBdr>
    </w:div>
    <w:div w:id="1219976290">
      <w:bodyDiv w:val="1"/>
      <w:marLeft w:val="0"/>
      <w:marRight w:val="0"/>
      <w:marTop w:val="0"/>
      <w:marBottom w:val="0"/>
      <w:divBdr>
        <w:top w:val="none" w:sz="0" w:space="0" w:color="auto"/>
        <w:left w:val="none" w:sz="0" w:space="0" w:color="auto"/>
        <w:bottom w:val="none" w:sz="0" w:space="0" w:color="auto"/>
        <w:right w:val="none" w:sz="0" w:space="0" w:color="auto"/>
      </w:divBdr>
    </w:div>
    <w:div w:id="1222709571">
      <w:bodyDiv w:val="1"/>
      <w:marLeft w:val="0"/>
      <w:marRight w:val="0"/>
      <w:marTop w:val="0"/>
      <w:marBottom w:val="0"/>
      <w:divBdr>
        <w:top w:val="none" w:sz="0" w:space="0" w:color="auto"/>
        <w:left w:val="none" w:sz="0" w:space="0" w:color="auto"/>
        <w:bottom w:val="none" w:sz="0" w:space="0" w:color="auto"/>
        <w:right w:val="none" w:sz="0" w:space="0" w:color="auto"/>
      </w:divBdr>
    </w:div>
    <w:div w:id="1232228963">
      <w:bodyDiv w:val="1"/>
      <w:marLeft w:val="0"/>
      <w:marRight w:val="0"/>
      <w:marTop w:val="0"/>
      <w:marBottom w:val="0"/>
      <w:divBdr>
        <w:top w:val="none" w:sz="0" w:space="0" w:color="auto"/>
        <w:left w:val="none" w:sz="0" w:space="0" w:color="auto"/>
        <w:bottom w:val="none" w:sz="0" w:space="0" w:color="auto"/>
        <w:right w:val="none" w:sz="0" w:space="0" w:color="auto"/>
      </w:divBdr>
    </w:div>
    <w:div w:id="1258638330">
      <w:bodyDiv w:val="1"/>
      <w:marLeft w:val="0"/>
      <w:marRight w:val="0"/>
      <w:marTop w:val="0"/>
      <w:marBottom w:val="0"/>
      <w:divBdr>
        <w:top w:val="none" w:sz="0" w:space="0" w:color="auto"/>
        <w:left w:val="none" w:sz="0" w:space="0" w:color="auto"/>
        <w:bottom w:val="none" w:sz="0" w:space="0" w:color="auto"/>
        <w:right w:val="none" w:sz="0" w:space="0" w:color="auto"/>
      </w:divBdr>
    </w:div>
    <w:div w:id="1282877673">
      <w:bodyDiv w:val="1"/>
      <w:marLeft w:val="0"/>
      <w:marRight w:val="0"/>
      <w:marTop w:val="0"/>
      <w:marBottom w:val="0"/>
      <w:divBdr>
        <w:top w:val="none" w:sz="0" w:space="0" w:color="auto"/>
        <w:left w:val="none" w:sz="0" w:space="0" w:color="auto"/>
        <w:bottom w:val="none" w:sz="0" w:space="0" w:color="auto"/>
        <w:right w:val="none" w:sz="0" w:space="0" w:color="auto"/>
      </w:divBdr>
    </w:div>
    <w:div w:id="1285313061">
      <w:bodyDiv w:val="1"/>
      <w:marLeft w:val="0"/>
      <w:marRight w:val="0"/>
      <w:marTop w:val="0"/>
      <w:marBottom w:val="0"/>
      <w:divBdr>
        <w:top w:val="none" w:sz="0" w:space="0" w:color="auto"/>
        <w:left w:val="none" w:sz="0" w:space="0" w:color="auto"/>
        <w:bottom w:val="none" w:sz="0" w:space="0" w:color="auto"/>
        <w:right w:val="none" w:sz="0" w:space="0" w:color="auto"/>
      </w:divBdr>
    </w:div>
    <w:div w:id="1288777321">
      <w:bodyDiv w:val="1"/>
      <w:marLeft w:val="0"/>
      <w:marRight w:val="0"/>
      <w:marTop w:val="0"/>
      <w:marBottom w:val="0"/>
      <w:divBdr>
        <w:top w:val="none" w:sz="0" w:space="0" w:color="auto"/>
        <w:left w:val="none" w:sz="0" w:space="0" w:color="auto"/>
        <w:bottom w:val="none" w:sz="0" w:space="0" w:color="auto"/>
        <w:right w:val="none" w:sz="0" w:space="0" w:color="auto"/>
      </w:divBdr>
    </w:div>
    <w:div w:id="1308315301">
      <w:bodyDiv w:val="1"/>
      <w:marLeft w:val="0"/>
      <w:marRight w:val="0"/>
      <w:marTop w:val="0"/>
      <w:marBottom w:val="0"/>
      <w:divBdr>
        <w:top w:val="none" w:sz="0" w:space="0" w:color="auto"/>
        <w:left w:val="none" w:sz="0" w:space="0" w:color="auto"/>
        <w:bottom w:val="none" w:sz="0" w:space="0" w:color="auto"/>
        <w:right w:val="none" w:sz="0" w:space="0" w:color="auto"/>
      </w:divBdr>
    </w:div>
    <w:div w:id="1337997430">
      <w:bodyDiv w:val="1"/>
      <w:marLeft w:val="0"/>
      <w:marRight w:val="0"/>
      <w:marTop w:val="0"/>
      <w:marBottom w:val="0"/>
      <w:divBdr>
        <w:top w:val="none" w:sz="0" w:space="0" w:color="auto"/>
        <w:left w:val="none" w:sz="0" w:space="0" w:color="auto"/>
        <w:bottom w:val="none" w:sz="0" w:space="0" w:color="auto"/>
        <w:right w:val="none" w:sz="0" w:space="0" w:color="auto"/>
      </w:divBdr>
    </w:div>
    <w:div w:id="1350835144">
      <w:bodyDiv w:val="1"/>
      <w:marLeft w:val="0"/>
      <w:marRight w:val="0"/>
      <w:marTop w:val="0"/>
      <w:marBottom w:val="0"/>
      <w:divBdr>
        <w:top w:val="none" w:sz="0" w:space="0" w:color="auto"/>
        <w:left w:val="none" w:sz="0" w:space="0" w:color="auto"/>
        <w:bottom w:val="none" w:sz="0" w:space="0" w:color="auto"/>
        <w:right w:val="none" w:sz="0" w:space="0" w:color="auto"/>
      </w:divBdr>
    </w:div>
    <w:div w:id="1369070093">
      <w:bodyDiv w:val="1"/>
      <w:marLeft w:val="0"/>
      <w:marRight w:val="0"/>
      <w:marTop w:val="0"/>
      <w:marBottom w:val="0"/>
      <w:divBdr>
        <w:top w:val="none" w:sz="0" w:space="0" w:color="auto"/>
        <w:left w:val="none" w:sz="0" w:space="0" w:color="auto"/>
        <w:bottom w:val="none" w:sz="0" w:space="0" w:color="auto"/>
        <w:right w:val="none" w:sz="0" w:space="0" w:color="auto"/>
      </w:divBdr>
    </w:div>
    <w:div w:id="1374496793">
      <w:bodyDiv w:val="1"/>
      <w:marLeft w:val="0"/>
      <w:marRight w:val="0"/>
      <w:marTop w:val="0"/>
      <w:marBottom w:val="0"/>
      <w:divBdr>
        <w:top w:val="none" w:sz="0" w:space="0" w:color="auto"/>
        <w:left w:val="none" w:sz="0" w:space="0" w:color="auto"/>
        <w:bottom w:val="none" w:sz="0" w:space="0" w:color="auto"/>
        <w:right w:val="none" w:sz="0" w:space="0" w:color="auto"/>
      </w:divBdr>
    </w:div>
    <w:div w:id="1393190157">
      <w:bodyDiv w:val="1"/>
      <w:marLeft w:val="0"/>
      <w:marRight w:val="0"/>
      <w:marTop w:val="0"/>
      <w:marBottom w:val="0"/>
      <w:divBdr>
        <w:top w:val="none" w:sz="0" w:space="0" w:color="auto"/>
        <w:left w:val="none" w:sz="0" w:space="0" w:color="auto"/>
        <w:bottom w:val="none" w:sz="0" w:space="0" w:color="auto"/>
        <w:right w:val="none" w:sz="0" w:space="0" w:color="auto"/>
      </w:divBdr>
    </w:div>
    <w:div w:id="1398555723">
      <w:bodyDiv w:val="1"/>
      <w:marLeft w:val="0"/>
      <w:marRight w:val="0"/>
      <w:marTop w:val="0"/>
      <w:marBottom w:val="0"/>
      <w:divBdr>
        <w:top w:val="none" w:sz="0" w:space="0" w:color="auto"/>
        <w:left w:val="none" w:sz="0" w:space="0" w:color="auto"/>
        <w:bottom w:val="none" w:sz="0" w:space="0" w:color="auto"/>
        <w:right w:val="none" w:sz="0" w:space="0" w:color="auto"/>
      </w:divBdr>
    </w:div>
    <w:div w:id="1400401079">
      <w:bodyDiv w:val="1"/>
      <w:marLeft w:val="0"/>
      <w:marRight w:val="0"/>
      <w:marTop w:val="0"/>
      <w:marBottom w:val="0"/>
      <w:divBdr>
        <w:top w:val="none" w:sz="0" w:space="0" w:color="auto"/>
        <w:left w:val="none" w:sz="0" w:space="0" w:color="auto"/>
        <w:bottom w:val="none" w:sz="0" w:space="0" w:color="auto"/>
        <w:right w:val="none" w:sz="0" w:space="0" w:color="auto"/>
      </w:divBdr>
    </w:div>
    <w:div w:id="1405951752">
      <w:bodyDiv w:val="1"/>
      <w:marLeft w:val="0"/>
      <w:marRight w:val="0"/>
      <w:marTop w:val="0"/>
      <w:marBottom w:val="0"/>
      <w:divBdr>
        <w:top w:val="none" w:sz="0" w:space="0" w:color="auto"/>
        <w:left w:val="none" w:sz="0" w:space="0" w:color="auto"/>
        <w:bottom w:val="none" w:sz="0" w:space="0" w:color="auto"/>
        <w:right w:val="none" w:sz="0" w:space="0" w:color="auto"/>
      </w:divBdr>
    </w:div>
    <w:div w:id="1406761355">
      <w:bodyDiv w:val="1"/>
      <w:marLeft w:val="0"/>
      <w:marRight w:val="0"/>
      <w:marTop w:val="0"/>
      <w:marBottom w:val="0"/>
      <w:divBdr>
        <w:top w:val="none" w:sz="0" w:space="0" w:color="auto"/>
        <w:left w:val="none" w:sz="0" w:space="0" w:color="auto"/>
        <w:bottom w:val="none" w:sz="0" w:space="0" w:color="auto"/>
        <w:right w:val="none" w:sz="0" w:space="0" w:color="auto"/>
      </w:divBdr>
    </w:div>
    <w:div w:id="1420758959">
      <w:bodyDiv w:val="1"/>
      <w:marLeft w:val="0"/>
      <w:marRight w:val="0"/>
      <w:marTop w:val="0"/>
      <w:marBottom w:val="0"/>
      <w:divBdr>
        <w:top w:val="none" w:sz="0" w:space="0" w:color="auto"/>
        <w:left w:val="none" w:sz="0" w:space="0" w:color="auto"/>
        <w:bottom w:val="none" w:sz="0" w:space="0" w:color="auto"/>
        <w:right w:val="none" w:sz="0" w:space="0" w:color="auto"/>
      </w:divBdr>
    </w:div>
    <w:div w:id="1440485507">
      <w:bodyDiv w:val="1"/>
      <w:marLeft w:val="0"/>
      <w:marRight w:val="0"/>
      <w:marTop w:val="0"/>
      <w:marBottom w:val="0"/>
      <w:divBdr>
        <w:top w:val="none" w:sz="0" w:space="0" w:color="auto"/>
        <w:left w:val="none" w:sz="0" w:space="0" w:color="auto"/>
        <w:bottom w:val="none" w:sz="0" w:space="0" w:color="auto"/>
        <w:right w:val="none" w:sz="0" w:space="0" w:color="auto"/>
      </w:divBdr>
    </w:div>
    <w:div w:id="1440563511">
      <w:bodyDiv w:val="1"/>
      <w:marLeft w:val="0"/>
      <w:marRight w:val="0"/>
      <w:marTop w:val="0"/>
      <w:marBottom w:val="0"/>
      <w:divBdr>
        <w:top w:val="none" w:sz="0" w:space="0" w:color="auto"/>
        <w:left w:val="none" w:sz="0" w:space="0" w:color="auto"/>
        <w:bottom w:val="none" w:sz="0" w:space="0" w:color="auto"/>
        <w:right w:val="none" w:sz="0" w:space="0" w:color="auto"/>
      </w:divBdr>
    </w:div>
    <w:div w:id="1453286045">
      <w:bodyDiv w:val="1"/>
      <w:marLeft w:val="0"/>
      <w:marRight w:val="0"/>
      <w:marTop w:val="0"/>
      <w:marBottom w:val="0"/>
      <w:divBdr>
        <w:top w:val="none" w:sz="0" w:space="0" w:color="auto"/>
        <w:left w:val="none" w:sz="0" w:space="0" w:color="auto"/>
        <w:bottom w:val="none" w:sz="0" w:space="0" w:color="auto"/>
        <w:right w:val="none" w:sz="0" w:space="0" w:color="auto"/>
      </w:divBdr>
    </w:div>
    <w:div w:id="1454446556">
      <w:bodyDiv w:val="1"/>
      <w:marLeft w:val="0"/>
      <w:marRight w:val="0"/>
      <w:marTop w:val="0"/>
      <w:marBottom w:val="0"/>
      <w:divBdr>
        <w:top w:val="none" w:sz="0" w:space="0" w:color="auto"/>
        <w:left w:val="none" w:sz="0" w:space="0" w:color="auto"/>
        <w:bottom w:val="none" w:sz="0" w:space="0" w:color="auto"/>
        <w:right w:val="none" w:sz="0" w:space="0" w:color="auto"/>
      </w:divBdr>
    </w:div>
    <w:div w:id="1456218884">
      <w:bodyDiv w:val="1"/>
      <w:marLeft w:val="0"/>
      <w:marRight w:val="0"/>
      <w:marTop w:val="0"/>
      <w:marBottom w:val="0"/>
      <w:divBdr>
        <w:top w:val="none" w:sz="0" w:space="0" w:color="auto"/>
        <w:left w:val="none" w:sz="0" w:space="0" w:color="auto"/>
        <w:bottom w:val="none" w:sz="0" w:space="0" w:color="auto"/>
        <w:right w:val="none" w:sz="0" w:space="0" w:color="auto"/>
      </w:divBdr>
    </w:div>
    <w:div w:id="1462502662">
      <w:bodyDiv w:val="1"/>
      <w:marLeft w:val="0"/>
      <w:marRight w:val="0"/>
      <w:marTop w:val="0"/>
      <w:marBottom w:val="0"/>
      <w:divBdr>
        <w:top w:val="none" w:sz="0" w:space="0" w:color="auto"/>
        <w:left w:val="none" w:sz="0" w:space="0" w:color="auto"/>
        <w:bottom w:val="none" w:sz="0" w:space="0" w:color="auto"/>
        <w:right w:val="none" w:sz="0" w:space="0" w:color="auto"/>
      </w:divBdr>
    </w:div>
    <w:div w:id="1469013120">
      <w:bodyDiv w:val="1"/>
      <w:marLeft w:val="0"/>
      <w:marRight w:val="0"/>
      <w:marTop w:val="0"/>
      <w:marBottom w:val="0"/>
      <w:divBdr>
        <w:top w:val="none" w:sz="0" w:space="0" w:color="auto"/>
        <w:left w:val="none" w:sz="0" w:space="0" w:color="auto"/>
        <w:bottom w:val="none" w:sz="0" w:space="0" w:color="auto"/>
        <w:right w:val="none" w:sz="0" w:space="0" w:color="auto"/>
      </w:divBdr>
    </w:div>
    <w:div w:id="1484276983">
      <w:bodyDiv w:val="1"/>
      <w:marLeft w:val="0"/>
      <w:marRight w:val="0"/>
      <w:marTop w:val="0"/>
      <w:marBottom w:val="0"/>
      <w:divBdr>
        <w:top w:val="none" w:sz="0" w:space="0" w:color="auto"/>
        <w:left w:val="none" w:sz="0" w:space="0" w:color="auto"/>
        <w:bottom w:val="none" w:sz="0" w:space="0" w:color="auto"/>
        <w:right w:val="none" w:sz="0" w:space="0" w:color="auto"/>
      </w:divBdr>
    </w:div>
    <w:div w:id="1484348812">
      <w:bodyDiv w:val="1"/>
      <w:marLeft w:val="0"/>
      <w:marRight w:val="0"/>
      <w:marTop w:val="0"/>
      <w:marBottom w:val="0"/>
      <w:divBdr>
        <w:top w:val="none" w:sz="0" w:space="0" w:color="auto"/>
        <w:left w:val="none" w:sz="0" w:space="0" w:color="auto"/>
        <w:bottom w:val="none" w:sz="0" w:space="0" w:color="auto"/>
        <w:right w:val="none" w:sz="0" w:space="0" w:color="auto"/>
      </w:divBdr>
    </w:div>
    <w:div w:id="1505971520">
      <w:bodyDiv w:val="1"/>
      <w:marLeft w:val="0"/>
      <w:marRight w:val="0"/>
      <w:marTop w:val="0"/>
      <w:marBottom w:val="0"/>
      <w:divBdr>
        <w:top w:val="none" w:sz="0" w:space="0" w:color="auto"/>
        <w:left w:val="none" w:sz="0" w:space="0" w:color="auto"/>
        <w:bottom w:val="none" w:sz="0" w:space="0" w:color="auto"/>
        <w:right w:val="none" w:sz="0" w:space="0" w:color="auto"/>
      </w:divBdr>
    </w:div>
    <w:div w:id="1515612633">
      <w:bodyDiv w:val="1"/>
      <w:marLeft w:val="0"/>
      <w:marRight w:val="0"/>
      <w:marTop w:val="0"/>
      <w:marBottom w:val="0"/>
      <w:divBdr>
        <w:top w:val="none" w:sz="0" w:space="0" w:color="auto"/>
        <w:left w:val="none" w:sz="0" w:space="0" w:color="auto"/>
        <w:bottom w:val="none" w:sz="0" w:space="0" w:color="auto"/>
        <w:right w:val="none" w:sz="0" w:space="0" w:color="auto"/>
      </w:divBdr>
    </w:div>
    <w:div w:id="1526673685">
      <w:bodyDiv w:val="1"/>
      <w:marLeft w:val="0"/>
      <w:marRight w:val="0"/>
      <w:marTop w:val="0"/>
      <w:marBottom w:val="0"/>
      <w:divBdr>
        <w:top w:val="none" w:sz="0" w:space="0" w:color="auto"/>
        <w:left w:val="none" w:sz="0" w:space="0" w:color="auto"/>
        <w:bottom w:val="none" w:sz="0" w:space="0" w:color="auto"/>
        <w:right w:val="none" w:sz="0" w:space="0" w:color="auto"/>
      </w:divBdr>
    </w:div>
    <w:div w:id="1534534907">
      <w:bodyDiv w:val="1"/>
      <w:marLeft w:val="0"/>
      <w:marRight w:val="0"/>
      <w:marTop w:val="0"/>
      <w:marBottom w:val="0"/>
      <w:divBdr>
        <w:top w:val="none" w:sz="0" w:space="0" w:color="auto"/>
        <w:left w:val="none" w:sz="0" w:space="0" w:color="auto"/>
        <w:bottom w:val="none" w:sz="0" w:space="0" w:color="auto"/>
        <w:right w:val="none" w:sz="0" w:space="0" w:color="auto"/>
      </w:divBdr>
    </w:div>
    <w:div w:id="1538086365">
      <w:bodyDiv w:val="1"/>
      <w:marLeft w:val="0"/>
      <w:marRight w:val="0"/>
      <w:marTop w:val="0"/>
      <w:marBottom w:val="0"/>
      <w:divBdr>
        <w:top w:val="none" w:sz="0" w:space="0" w:color="auto"/>
        <w:left w:val="none" w:sz="0" w:space="0" w:color="auto"/>
        <w:bottom w:val="none" w:sz="0" w:space="0" w:color="auto"/>
        <w:right w:val="none" w:sz="0" w:space="0" w:color="auto"/>
      </w:divBdr>
    </w:div>
    <w:div w:id="1538934345">
      <w:bodyDiv w:val="1"/>
      <w:marLeft w:val="0"/>
      <w:marRight w:val="0"/>
      <w:marTop w:val="0"/>
      <w:marBottom w:val="0"/>
      <w:divBdr>
        <w:top w:val="none" w:sz="0" w:space="0" w:color="auto"/>
        <w:left w:val="none" w:sz="0" w:space="0" w:color="auto"/>
        <w:bottom w:val="none" w:sz="0" w:space="0" w:color="auto"/>
        <w:right w:val="none" w:sz="0" w:space="0" w:color="auto"/>
      </w:divBdr>
    </w:div>
    <w:div w:id="1545366716">
      <w:bodyDiv w:val="1"/>
      <w:marLeft w:val="0"/>
      <w:marRight w:val="0"/>
      <w:marTop w:val="0"/>
      <w:marBottom w:val="0"/>
      <w:divBdr>
        <w:top w:val="none" w:sz="0" w:space="0" w:color="auto"/>
        <w:left w:val="none" w:sz="0" w:space="0" w:color="auto"/>
        <w:bottom w:val="none" w:sz="0" w:space="0" w:color="auto"/>
        <w:right w:val="none" w:sz="0" w:space="0" w:color="auto"/>
      </w:divBdr>
    </w:div>
    <w:div w:id="1546676743">
      <w:bodyDiv w:val="1"/>
      <w:marLeft w:val="0"/>
      <w:marRight w:val="0"/>
      <w:marTop w:val="0"/>
      <w:marBottom w:val="0"/>
      <w:divBdr>
        <w:top w:val="none" w:sz="0" w:space="0" w:color="auto"/>
        <w:left w:val="none" w:sz="0" w:space="0" w:color="auto"/>
        <w:bottom w:val="none" w:sz="0" w:space="0" w:color="auto"/>
        <w:right w:val="none" w:sz="0" w:space="0" w:color="auto"/>
      </w:divBdr>
    </w:div>
    <w:div w:id="1557816814">
      <w:bodyDiv w:val="1"/>
      <w:marLeft w:val="0"/>
      <w:marRight w:val="0"/>
      <w:marTop w:val="0"/>
      <w:marBottom w:val="0"/>
      <w:divBdr>
        <w:top w:val="none" w:sz="0" w:space="0" w:color="auto"/>
        <w:left w:val="none" w:sz="0" w:space="0" w:color="auto"/>
        <w:bottom w:val="none" w:sz="0" w:space="0" w:color="auto"/>
        <w:right w:val="none" w:sz="0" w:space="0" w:color="auto"/>
      </w:divBdr>
    </w:div>
    <w:div w:id="1560553104">
      <w:bodyDiv w:val="1"/>
      <w:marLeft w:val="0"/>
      <w:marRight w:val="0"/>
      <w:marTop w:val="0"/>
      <w:marBottom w:val="0"/>
      <w:divBdr>
        <w:top w:val="none" w:sz="0" w:space="0" w:color="auto"/>
        <w:left w:val="none" w:sz="0" w:space="0" w:color="auto"/>
        <w:bottom w:val="none" w:sz="0" w:space="0" w:color="auto"/>
        <w:right w:val="none" w:sz="0" w:space="0" w:color="auto"/>
      </w:divBdr>
    </w:div>
    <w:div w:id="1575697728">
      <w:bodyDiv w:val="1"/>
      <w:marLeft w:val="0"/>
      <w:marRight w:val="0"/>
      <w:marTop w:val="0"/>
      <w:marBottom w:val="0"/>
      <w:divBdr>
        <w:top w:val="none" w:sz="0" w:space="0" w:color="auto"/>
        <w:left w:val="none" w:sz="0" w:space="0" w:color="auto"/>
        <w:bottom w:val="none" w:sz="0" w:space="0" w:color="auto"/>
        <w:right w:val="none" w:sz="0" w:space="0" w:color="auto"/>
      </w:divBdr>
    </w:div>
    <w:div w:id="1577857468">
      <w:bodyDiv w:val="1"/>
      <w:marLeft w:val="0"/>
      <w:marRight w:val="0"/>
      <w:marTop w:val="0"/>
      <w:marBottom w:val="0"/>
      <w:divBdr>
        <w:top w:val="none" w:sz="0" w:space="0" w:color="auto"/>
        <w:left w:val="none" w:sz="0" w:space="0" w:color="auto"/>
        <w:bottom w:val="none" w:sz="0" w:space="0" w:color="auto"/>
        <w:right w:val="none" w:sz="0" w:space="0" w:color="auto"/>
      </w:divBdr>
    </w:div>
    <w:div w:id="1584023736">
      <w:bodyDiv w:val="1"/>
      <w:marLeft w:val="0"/>
      <w:marRight w:val="0"/>
      <w:marTop w:val="0"/>
      <w:marBottom w:val="0"/>
      <w:divBdr>
        <w:top w:val="none" w:sz="0" w:space="0" w:color="auto"/>
        <w:left w:val="none" w:sz="0" w:space="0" w:color="auto"/>
        <w:bottom w:val="none" w:sz="0" w:space="0" w:color="auto"/>
        <w:right w:val="none" w:sz="0" w:space="0" w:color="auto"/>
      </w:divBdr>
    </w:div>
    <w:div w:id="1589536531">
      <w:bodyDiv w:val="1"/>
      <w:marLeft w:val="0"/>
      <w:marRight w:val="0"/>
      <w:marTop w:val="0"/>
      <w:marBottom w:val="0"/>
      <w:divBdr>
        <w:top w:val="none" w:sz="0" w:space="0" w:color="auto"/>
        <w:left w:val="none" w:sz="0" w:space="0" w:color="auto"/>
        <w:bottom w:val="none" w:sz="0" w:space="0" w:color="auto"/>
        <w:right w:val="none" w:sz="0" w:space="0" w:color="auto"/>
      </w:divBdr>
    </w:div>
    <w:div w:id="1593465947">
      <w:bodyDiv w:val="1"/>
      <w:marLeft w:val="0"/>
      <w:marRight w:val="0"/>
      <w:marTop w:val="0"/>
      <w:marBottom w:val="0"/>
      <w:divBdr>
        <w:top w:val="none" w:sz="0" w:space="0" w:color="auto"/>
        <w:left w:val="none" w:sz="0" w:space="0" w:color="auto"/>
        <w:bottom w:val="none" w:sz="0" w:space="0" w:color="auto"/>
        <w:right w:val="none" w:sz="0" w:space="0" w:color="auto"/>
      </w:divBdr>
    </w:div>
    <w:div w:id="1600140064">
      <w:bodyDiv w:val="1"/>
      <w:marLeft w:val="0"/>
      <w:marRight w:val="0"/>
      <w:marTop w:val="0"/>
      <w:marBottom w:val="0"/>
      <w:divBdr>
        <w:top w:val="none" w:sz="0" w:space="0" w:color="auto"/>
        <w:left w:val="none" w:sz="0" w:space="0" w:color="auto"/>
        <w:bottom w:val="none" w:sz="0" w:space="0" w:color="auto"/>
        <w:right w:val="none" w:sz="0" w:space="0" w:color="auto"/>
      </w:divBdr>
    </w:div>
    <w:div w:id="1615015567">
      <w:bodyDiv w:val="1"/>
      <w:marLeft w:val="0"/>
      <w:marRight w:val="0"/>
      <w:marTop w:val="0"/>
      <w:marBottom w:val="0"/>
      <w:divBdr>
        <w:top w:val="none" w:sz="0" w:space="0" w:color="auto"/>
        <w:left w:val="none" w:sz="0" w:space="0" w:color="auto"/>
        <w:bottom w:val="none" w:sz="0" w:space="0" w:color="auto"/>
        <w:right w:val="none" w:sz="0" w:space="0" w:color="auto"/>
      </w:divBdr>
    </w:div>
    <w:div w:id="1617829364">
      <w:bodyDiv w:val="1"/>
      <w:marLeft w:val="0"/>
      <w:marRight w:val="0"/>
      <w:marTop w:val="0"/>
      <w:marBottom w:val="0"/>
      <w:divBdr>
        <w:top w:val="none" w:sz="0" w:space="0" w:color="auto"/>
        <w:left w:val="none" w:sz="0" w:space="0" w:color="auto"/>
        <w:bottom w:val="none" w:sz="0" w:space="0" w:color="auto"/>
        <w:right w:val="none" w:sz="0" w:space="0" w:color="auto"/>
      </w:divBdr>
    </w:div>
    <w:div w:id="1625503220">
      <w:bodyDiv w:val="1"/>
      <w:marLeft w:val="0"/>
      <w:marRight w:val="0"/>
      <w:marTop w:val="0"/>
      <w:marBottom w:val="0"/>
      <w:divBdr>
        <w:top w:val="none" w:sz="0" w:space="0" w:color="auto"/>
        <w:left w:val="none" w:sz="0" w:space="0" w:color="auto"/>
        <w:bottom w:val="none" w:sz="0" w:space="0" w:color="auto"/>
        <w:right w:val="none" w:sz="0" w:space="0" w:color="auto"/>
      </w:divBdr>
    </w:div>
    <w:div w:id="1631352486">
      <w:bodyDiv w:val="1"/>
      <w:marLeft w:val="0"/>
      <w:marRight w:val="0"/>
      <w:marTop w:val="0"/>
      <w:marBottom w:val="0"/>
      <w:divBdr>
        <w:top w:val="none" w:sz="0" w:space="0" w:color="auto"/>
        <w:left w:val="none" w:sz="0" w:space="0" w:color="auto"/>
        <w:bottom w:val="none" w:sz="0" w:space="0" w:color="auto"/>
        <w:right w:val="none" w:sz="0" w:space="0" w:color="auto"/>
      </w:divBdr>
    </w:div>
    <w:div w:id="1633828496">
      <w:bodyDiv w:val="1"/>
      <w:marLeft w:val="0"/>
      <w:marRight w:val="0"/>
      <w:marTop w:val="0"/>
      <w:marBottom w:val="0"/>
      <w:divBdr>
        <w:top w:val="none" w:sz="0" w:space="0" w:color="auto"/>
        <w:left w:val="none" w:sz="0" w:space="0" w:color="auto"/>
        <w:bottom w:val="none" w:sz="0" w:space="0" w:color="auto"/>
        <w:right w:val="none" w:sz="0" w:space="0" w:color="auto"/>
      </w:divBdr>
    </w:div>
    <w:div w:id="1669600251">
      <w:bodyDiv w:val="1"/>
      <w:marLeft w:val="0"/>
      <w:marRight w:val="0"/>
      <w:marTop w:val="0"/>
      <w:marBottom w:val="0"/>
      <w:divBdr>
        <w:top w:val="none" w:sz="0" w:space="0" w:color="auto"/>
        <w:left w:val="none" w:sz="0" w:space="0" w:color="auto"/>
        <w:bottom w:val="none" w:sz="0" w:space="0" w:color="auto"/>
        <w:right w:val="none" w:sz="0" w:space="0" w:color="auto"/>
      </w:divBdr>
    </w:div>
    <w:div w:id="1684357811">
      <w:bodyDiv w:val="1"/>
      <w:marLeft w:val="0"/>
      <w:marRight w:val="0"/>
      <w:marTop w:val="0"/>
      <w:marBottom w:val="0"/>
      <w:divBdr>
        <w:top w:val="none" w:sz="0" w:space="0" w:color="auto"/>
        <w:left w:val="none" w:sz="0" w:space="0" w:color="auto"/>
        <w:bottom w:val="none" w:sz="0" w:space="0" w:color="auto"/>
        <w:right w:val="none" w:sz="0" w:space="0" w:color="auto"/>
      </w:divBdr>
    </w:div>
    <w:div w:id="1703625887">
      <w:bodyDiv w:val="1"/>
      <w:marLeft w:val="0"/>
      <w:marRight w:val="0"/>
      <w:marTop w:val="0"/>
      <w:marBottom w:val="0"/>
      <w:divBdr>
        <w:top w:val="none" w:sz="0" w:space="0" w:color="auto"/>
        <w:left w:val="none" w:sz="0" w:space="0" w:color="auto"/>
        <w:bottom w:val="none" w:sz="0" w:space="0" w:color="auto"/>
        <w:right w:val="none" w:sz="0" w:space="0" w:color="auto"/>
      </w:divBdr>
    </w:div>
    <w:div w:id="1717898189">
      <w:bodyDiv w:val="1"/>
      <w:marLeft w:val="0"/>
      <w:marRight w:val="0"/>
      <w:marTop w:val="0"/>
      <w:marBottom w:val="0"/>
      <w:divBdr>
        <w:top w:val="none" w:sz="0" w:space="0" w:color="auto"/>
        <w:left w:val="none" w:sz="0" w:space="0" w:color="auto"/>
        <w:bottom w:val="none" w:sz="0" w:space="0" w:color="auto"/>
        <w:right w:val="none" w:sz="0" w:space="0" w:color="auto"/>
      </w:divBdr>
    </w:div>
    <w:div w:id="1724600314">
      <w:bodyDiv w:val="1"/>
      <w:marLeft w:val="0"/>
      <w:marRight w:val="0"/>
      <w:marTop w:val="0"/>
      <w:marBottom w:val="0"/>
      <w:divBdr>
        <w:top w:val="none" w:sz="0" w:space="0" w:color="auto"/>
        <w:left w:val="none" w:sz="0" w:space="0" w:color="auto"/>
        <w:bottom w:val="none" w:sz="0" w:space="0" w:color="auto"/>
        <w:right w:val="none" w:sz="0" w:space="0" w:color="auto"/>
      </w:divBdr>
    </w:div>
    <w:div w:id="1748380058">
      <w:bodyDiv w:val="1"/>
      <w:marLeft w:val="0"/>
      <w:marRight w:val="0"/>
      <w:marTop w:val="0"/>
      <w:marBottom w:val="0"/>
      <w:divBdr>
        <w:top w:val="none" w:sz="0" w:space="0" w:color="auto"/>
        <w:left w:val="none" w:sz="0" w:space="0" w:color="auto"/>
        <w:bottom w:val="none" w:sz="0" w:space="0" w:color="auto"/>
        <w:right w:val="none" w:sz="0" w:space="0" w:color="auto"/>
      </w:divBdr>
    </w:div>
    <w:div w:id="1750349338">
      <w:bodyDiv w:val="1"/>
      <w:marLeft w:val="0"/>
      <w:marRight w:val="0"/>
      <w:marTop w:val="0"/>
      <w:marBottom w:val="0"/>
      <w:divBdr>
        <w:top w:val="none" w:sz="0" w:space="0" w:color="auto"/>
        <w:left w:val="none" w:sz="0" w:space="0" w:color="auto"/>
        <w:bottom w:val="none" w:sz="0" w:space="0" w:color="auto"/>
        <w:right w:val="none" w:sz="0" w:space="0" w:color="auto"/>
      </w:divBdr>
    </w:div>
    <w:div w:id="1761827505">
      <w:bodyDiv w:val="1"/>
      <w:marLeft w:val="0"/>
      <w:marRight w:val="0"/>
      <w:marTop w:val="0"/>
      <w:marBottom w:val="0"/>
      <w:divBdr>
        <w:top w:val="none" w:sz="0" w:space="0" w:color="auto"/>
        <w:left w:val="none" w:sz="0" w:space="0" w:color="auto"/>
        <w:bottom w:val="none" w:sz="0" w:space="0" w:color="auto"/>
        <w:right w:val="none" w:sz="0" w:space="0" w:color="auto"/>
      </w:divBdr>
    </w:div>
    <w:div w:id="1762946458">
      <w:bodyDiv w:val="1"/>
      <w:marLeft w:val="0"/>
      <w:marRight w:val="0"/>
      <w:marTop w:val="0"/>
      <w:marBottom w:val="0"/>
      <w:divBdr>
        <w:top w:val="none" w:sz="0" w:space="0" w:color="auto"/>
        <w:left w:val="none" w:sz="0" w:space="0" w:color="auto"/>
        <w:bottom w:val="none" w:sz="0" w:space="0" w:color="auto"/>
        <w:right w:val="none" w:sz="0" w:space="0" w:color="auto"/>
      </w:divBdr>
    </w:div>
    <w:div w:id="1764915070">
      <w:bodyDiv w:val="1"/>
      <w:marLeft w:val="0"/>
      <w:marRight w:val="0"/>
      <w:marTop w:val="0"/>
      <w:marBottom w:val="0"/>
      <w:divBdr>
        <w:top w:val="none" w:sz="0" w:space="0" w:color="auto"/>
        <w:left w:val="none" w:sz="0" w:space="0" w:color="auto"/>
        <w:bottom w:val="none" w:sz="0" w:space="0" w:color="auto"/>
        <w:right w:val="none" w:sz="0" w:space="0" w:color="auto"/>
      </w:divBdr>
    </w:div>
    <w:div w:id="1798373393">
      <w:bodyDiv w:val="1"/>
      <w:marLeft w:val="0"/>
      <w:marRight w:val="0"/>
      <w:marTop w:val="0"/>
      <w:marBottom w:val="0"/>
      <w:divBdr>
        <w:top w:val="none" w:sz="0" w:space="0" w:color="auto"/>
        <w:left w:val="none" w:sz="0" w:space="0" w:color="auto"/>
        <w:bottom w:val="none" w:sz="0" w:space="0" w:color="auto"/>
        <w:right w:val="none" w:sz="0" w:space="0" w:color="auto"/>
      </w:divBdr>
    </w:div>
    <w:div w:id="1849714515">
      <w:bodyDiv w:val="1"/>
      <w:marLeft w:val="0"/>
      <w:marRight w:val="0"/>
      <w:marTop w:val="0"/>
      <w:marBottom w:val="0"/>
      <w:divBdr>
        <w:top w:val="none" w:sz="0" w:space="0" w:color="auto"/>
        <w:left w:val="none" w:sz="0" w:space="0" w:color="auto"/>
        <w:bottom w:val="none" w:sz="0" w:space="0" w:color="auto"/>
        <w:right w:val="none" w:sz="0" w:space="0" w:color="auto"/>
      </w:divBdr>
    </w:div>
    <w:div w:id="1854957210">
      <w:bodyDiv w:val="1"/>
      <w:marLeft w:val="0"/>
      <w:marRight w:val="0"/>
      <w:marTop w:val="0"/>
      <w:marBottom w:val="0"/>
      <w:divBdr>
        <w:top w:val="none" w:sz="0" w:space="0" w:color="auto"/>
        <w:left w:val="none" w:sz="0" w:space="0" w:color="auto"/>
        <w:bottom w:val="none" w:sz="0" w:space="0" w:color="auto"/>
        <w:right w:val="none" w:sz="0" w:space="0" w:color="auto"/>
      </w:divBdr>
    </w:div>
    <w:div w:id="1873565974">
      <w:bodyDiv w:val="1"/>
      <w:marLeft w:val="0"/>
      <w:marRight w:val="0"/>
      <w:marTop w:val="0"/>
      <w:marBottom w:val="0"/>
      <w:divBdr>
        <w:top w:val="none" w:sz="0" w:space="0" w:color="auto"/>
        <w:left w:val="none" w:sz="0" w:space="0" w:color="auto"/>
        <w:bottom w:val="none" w:sz="0" w:space="0" w:color="auto"/>
        <w:right w:val="none" w:sz="0" w:space="0" w:color="auto"/>
      </w:divBdr>
    </w:div>
    <w:div w:id="1874417529">
      <w:bodyDiv w:val="1"/>
      <w:marLeft w:val="0"/>
      <w:marRight w:val="0"/>
      <w:marTop w:val="0"/>
      <w:marBottom w:val="0"/>
      <w:divBdr>
        <w:top w:val="none" w:sz="0" w:space="0" w:color="auto"/>
        <w:left w:val="none" w:sz="0" w:space="0" w:color="auto"/>
        <w:bottom w:val="none" w:sz="0" w:space="0" w:color="auto"/>
        <w:right w:val="none" w:sz="0" w:space="0" w:color="auto"/>
      </w:divBdr>
    </w:div>
    <w:div w:id="1906376710">
      <w:bodyDiv w:val="1"/>
      <w:marLeft w:val="0"/>
      <w:marRight w:val="0"/>
      <w:marTop w:val="0"/>
      <w:marBottom w:val="0"/>
      <w:divBdr>
        <w:top w:val="none" w:sz="0" w:space="0" w:color="auto"/>
        <w:left w:val="none" w:sz="0" w:space="0" w:color="auto"/>
        <w:bottom w:val="none" w:sz="0" w:space="0" w:color="auto"/>
        <w:right w:val="none" w:sz="0" w:space="0" w:color="auto"/>
      </w:divBdr>
    </w:div>
    <w:div w:id="1911649799">
      <w:bodyDiv w:val="1"/>
      <w:marLeft w:val="0"/>
      <w:marRight w:val="0"/>
      <w:marTop w:val="0"/>
      <w:marBottom w:val="0"/>
      <w:divBdr>
        <w:top w:val="none" w:sz="0" w:space="0" w:color="auto"/>
        <w:left w:val="none" w:sz="0" w:space="0" w:color="auto"/>
        <w:bottom w:val="none" w:sz="0" w:space="0" w:color="auto"/>
        <w:right w:val="none" w:sz="0" w:space="0" w:color="auto"/>
      </w:divBdr>
    </w:div>
    <w:div w:id="1924758824">
      <w:bodyDiv w:val="1"/>
      <w:marLeft w:val="0"/>
      <w:marRight w:val="0"/>
      <w:marTop w:val="0"/>
      <w:marBottom w:val="0"/>
      <w:divBdr>
        <w:top w:val="none" w:sz="0" w:space="0" w:color="auto"/>
        <w:left w:val="none" w:sz="0" w:space="0" w:color="auto"/>
        <w:bottom w:val="none" w:sz="0" w:space="0" w:color="auto"/>
        <w:right w:val="none" w:sz="0" w:space="0" w:color="auto"/>
      </w:divBdr>
    </w:div>
    <w:div w:id="1928030960">
      <w:bodyDiv w:val="1"/>
      <w:marLeft w:val="0"/>
      <w:marRight w:val="0"/>
      <w:marTop w:val="0"/>
      <w:marBottom w:val="0"/>
      <w:divBdr>
        <w:top w:val="none" w:sz="0" w:space="0" w:color="auto"/>
        <w:left w:val="none" w:sz="0" w:space="0" w:color="auto"/>
        <w:bottom w:val="none" w:sz="0" w:space="0" w:color="auto"/>
        <w:right w:val="none" w:sz="0" w:space="0" w:color="auto"/>
      </w:divBdr>
    </w:div>
    <w:div w:id="1942495978">
      <w:bodyDiv w:val="1"/>
      <w:marLeft w:val="0"/>
      <w:marRight w:val="0"/>
      <w:marTop w:val="0"/>
      <w:marBottom w:val="0"/>
      <w:divBdr>
        <w:top w:val="none" w:sz="0" w:space="0" w:color="auto"/>
        <w:left w:val="none" w:sz="0" w:space="0" w:color="auto"/>
        <w:bottom w:val="none" w:sz="0" w:space="0" w:color="auto"/>
        <w:right w:val="none" w:sz="0" w:space="0" w:color="auto"/>
      </w:divBdr>
    </w:div>
    <w:div w:id="1951741778">
      <w:bodyDiv w:val="1"/>
      <w:marLeft w:val="0"/>
      <w:marRight w:val="0"/>
      <w:marTop w:val="0"/>
      <w:marBottom w:val="0"/>
      <w:divBdr>
        <w:top w:val="none" w:sz="0" w:space="0" w:color="auto"/>
        <w:left w:val="none" w:sz="0" w:space="0" w:color="auto"/>
        <w:bottom w:val="none" w:sz="0" w:space="0" w:color="auto"/>
        <w:right w:val="none" w:sz="0" w:space="0" w:color="auto"/>
      </w:divBdr>
    </w:div>
    <w:div w:id="1974435820">
      <w:bodyDiv w:val="1"/>
      <w:marLeft w:val="0"/>
      <w:marRight w:val="0"/>
      <w:marTop w:val="0"/>
      <w:marBottom w:val="0"/>
      <w:divBdr>
        <w:top w:val="none" w:sz="0" w:space="0" w:color="auto"/>
        <w:left w:val="none" w:sz="0" w:space="0" w:color="auto"/>
        <w:bottom w:val="none" w:sz="0" w:space="0" w:color="auto"/>
        <w:right w:val="none" w:sz="0" w:space="0" w:color="auto"/>
      </w:divBdr>
    </w:div>
    <w:div w:id="1975408935">
      <w:bodyDiv w:val="1"/>
      <w:marLeft w:val="0"/>
      <w:marRight w:val="0"/>
      <w:marTop w:val="0"/>
      <w:marBottom w:val="0"/>
      <w:divBdr>
        <w:top w:val="none" w:sz="0" w:space="0" w:color="auto"/>
        <w:left w:val="none" w:sz="0" w:space="0" w:color="auto"/>
        <w:bottom w:val="none" w:sz="0" w:space="0" w:color="auto"/>
        <w:right w:val="none" w:sz="0" w:space="0" w:color="auto"/>
      </w:divBdr>
    </w:div>
    <w:div w:id="1975475912">
      <w:bodyDiv w:val="1"/>
      <w:marLeft w:val="0"/>
      <w:marRight w:val="0"/>
      <w:marTop w:val="0"/>
      <w:marBottom w:val="0"/>
      <w:divBdr>
        <w:top w:val="none" w:sz="0" w:space="0" w:color="auto"/>
        <w:left w:val="none" w:sz="0" w:space="0" w:color="auto"/>
        <w:bottom w:val="none" w:sz="0" w:space="0" w:color="auto"/>
        <w:right w:val="none" w:sz="0" w:space="0" w:color="auto"/>
      </w:divBdr>
    </w:div>
    <w:div w:id="1979065853">
      <w:bodyDiv w:val="1"/>
      <w:marLeft w:val="0"/>
      <w:marRight w:val="0"/>
      <w:marTop w:val="0"/>
      <w:marBottom w:val="0"/>
      <w:divBdr>
        <w:top w:val="none" w:sz="0" w:space="0" w:color="auto"/>
        <w:left w:val="none" w:sz="0" w:space="0" w:color="auto"/>
        <w:bottom w:val="none" w:sz="0" w:space="0" w:color="auto"/>
        <w:right w:val="none" w:sz="0" w:space="0" w:color="auto"/>
      </w:divBdr>
    </w:div>
    <w:div w:id="1987928170">
      <w:bodyDiv w:val="1"/>
      <w:marLeft w:val="0"/>
      <w:marRight w:val="0"/>
      <w:marTop w:val="0"/>
      <w:marBottom w:val="0"/>
      <w:divBdr>
        <w:top w:val="none" w:sz="0" w:space="0" w:color="auto"/>
        <w:left w:val="none" w:sz="0" w:space="0" w:color="auto"/>
        <w:bottom w:val="none" w:sz="0" w:space="0" w:color="auto"/>
        <w:right w:val="none" w:sz="0" w:space="0" w:color="auto"/>
      </w:divBdr>
    </w:div>
    <w:div w:id="1995059216">
      <w:bodyDiv w:val="1"/>
      <w:marLeft w:val="0"/>
      <w:marRight w:val="0"/>
      <w:marTop w:val="0"/>
      <w:marBottom w:val="0"/>
      <w:divBdr>
        <w:top w:val="none" w:sz="0" w:space="0" w:color="auto"/>
        <w:left w:val="none" w:sz="0" w:space="0" w:color="auto"/>
        <w:bottom w:val="none" w:sz="0" w:space="0" w:color="auto"/>
        <w:right w:val="none" w:sz="0" w:space="0" w:color="auto"/>
      </w:divBdr>
    </w:div>
    <w:div w:id="2016686813">
      <w:bodyDiv w:val="1"/>
      <w:marLeft w:val="0"/>
      <w:marRight w:val="0"/>
      <w:marTop w:val="0"/>
      <w:marBottom w:val="0"/>
      <w:divBdr>
        <w:top w:val="none" w:sz="0" w:space="0" w:color="auto"/>
        <w:left w:val="none" w:sz="0" w:space="0" w:color="auto"/>
        <w:bottom w:val="none" w:sz="0" w:space="0" w:color="auto"/>
        <w:right w:val="none" w:sz="0" w:space="0" w:color="auto"/>
      </w:divBdr>
    </w:div>
    <w:div w:id="2017265469">
      <w:bodyDiv w:val="1"/>
      <w:marLeft w:val="0"/>
      <w:marRight w:val="0"/>
      <w:marTop w:val="0"/>
      <w:marBottom w:val="0"/>
      <w:divBdr>
        <w:top w:val="none" w:sz="0" w:space="0" w:color="auto"/>
        <w:left w:val="none" w:sz="0" w:space="0" w:color="auto"/>
        <w:bottom w:val="none" w:sz="0" w:space="0" w:color="auto"/>
        <w:right w:val="none" w:sz="0" w:space="0" w:color="auto"/>
      </w:divBdr>
    </w:div>
    <w:div w:id="2028750625">
      <w:bodyDiv w:val="1"/>
      <w:marLeft w:val="0"/>
      <w:marRight w:val="0"/>
      <w:marTop w:val="0"/>
      <w:marBottom w:val="0"/>
      <w:divBdr>
        <w:top w:val="none" w:sz="0" w:space="0" w:color="auto"/>
        <w:left w:val="none" w:sz="0" w:space="0" w:color="auto"/>
        <w:bottom w:val="none" w:sz="0" w:space="0" w:color="auto"/>
        <w:right w:val="none" w:sz="0" w:space="0" w:color="auto"/>
      </w:divBdr>
    </w:div>
    <w:div w:id="2034988463">
      <w:bodyDiv w:val="1"/>
      <w:marLeft w:val="0"/>
      <w:marRight w:val="0"/>
      <w:marTop w:val="0"/>
      <w:marBottom w:val="0"/>
      <w:divBdr>
        <w:top w:val="none" w:sz="0" w:space="0" w:color="auto"/>
        <w:left w:val="none" w:sz="0" w:space="0" w:color="auto"/>
        <w:bottom w:val="none" w:sz="0" w:space="0" w:color="auto"/>
        <w:right w:val="none" w:sz="0" w:space="0" w:color="auto"/>
      </w:divBdr>
    </w:div>
    <w:div w:id="2055038383">
      <w:bodyDiv w:val="1"/>
      <w:marLeft w:val="0"/>
      <w:marRight w:val="0"/>
      <w:marTop w:val="0"/>
      <w:marBottom w:val="0"/>
      <w:divBdr>
        <w:top w:val="none" w:sz="0" w:space="0" w:color="auto"/>
        <w:left w:val="none" w:sz="0" w:space="0" w:color="auto"/>
        <w:bottom w:val="none" w:sz="0" w:space="0" w:color="auto"/>
        <w:right w:val="none" w:sz="0" w:space="0" w:color="auto"/>
      </w:divBdr>
    </w:div>
    <w:div w:id="2072459510">
      <w:bodyDiv w:val="1"/>
      <w:marLeft w:val="0"/>
      <w:marRight w:val="0"/>
      <w:marTop w:val="0"/>
      <w:marBottom w:val="0"/>
      <w:divBdr>
        <w:top w:val="none" w:sz="0" w:space="0" w:color="auto"/>
        <w:left w:val="none" w:sz="0" w:space="0" w:color="auto"/>
        <w:bottom w:val="none" w:sz="0" w:space="0" w:color="auto"/>
        <w:right w:val="none" w:sz="0" w:space="0" w:color="auto"/>
      </w:divBdr>
    </w:div>
    <w:div w:id="2073505279">
      <w:bodyDiv w:val="1"/>
      <w:marLeft w:val="0"/>
      <w:marRight w:val="0"/>
      <w:marTop w:val="0"/>
      <w:marBottom w:val="0"/>
      <w:divBdr>
        <w:top w:val="none" w:sz="0" w:space="0" w:color="auto"/>
        <w:left w:val="none" w:sz="0" w:space="0" w:color="auto"/>
        <w:bottom w:val="none" w:sz="0" w:space="0" w:color="auto"/>
        <w:right w:val="none" w:sz="0" w:space="0" w:color="auto"/>
      </w:divBdr>
    </w:div>
    <w:div w:id="2090342062">
      <w:bodyDiv w:val="1"/>
      <w:marLeft w:val="0"/>
      <w:marRight w:val="0"/>
      <w:marTop w:val="0"/>
      <w:marBottom w:val="0"/>
      <w:divBdr>
        <w:top w:val="none" w:sz="0" w:space="0" w:color="auto"/>
        <w:left w:val="none" w:sz="0" w:space="0" w:color="auto"/>
        <w:bottom w:val="none" w:sz="0" w:space="0" w:color="auto"/>
        <w:right w:val="none" w:sz="0" w:space="0" w:color="auto"/>
      </w:divBdr>
    </w:div>
    <w:div w:id="2100978328">
      <w:bodyDiv w:val="1"/>
      <w:marLeft w:val="0"/>
      <w:marRight w:val="0"/>
      <w:marTop w:val="0"/>
      <w:marBottom w:val="0"/>
      <w:divBdr>
        <w:top w:val="none" w:sz="0" w:space="0" w:color="auto"/>
        <w:left w:val="none" w:sz="0" w:space="0" w:color="auto"/>
        <w:bottom w:val="none" w:sz="0" w:space="0" w:color="auto"/>
        <w:right w:val="none" w:sz="0" w:space="0" w:color="auto"/>
      </w:divBdr>
    </w:div>
    <w:div w:id="2112510583">
      <w:bodyDiv w:val="1"/>
      <w:marLeft w:val="0"/>
      <w:marRight w:val="0"/>
      <w:marTop w:val="0"/>
      <w:marBottom w:val="0"/>
      <w:divBdr>
        <w:top w:val="none" w:sz="0" w:space="0" w:color="auto"/>
        <w:left w:val="none" w:sz="0" w:space="0" w:color="auto"/>
        <w:bottom w:val="none" w:sz="0" w:space="0" w:color="auto"/>
        <w:right w:val="none" w:sz="0" w:space="0" w:color="auto"/>
      </w:divBdr>
    </w:div>
    <w:div w:id="2117825461">
      <w:bodyDiv w:val="1"/>
      <w:marLeft w:val="0"/>
      <w:marRight w:val="0"/>
      <w:marTop w:val="0"/>
      <w:marBottom w:val="0"/>
      <w:divBdr>
        <w:top w:val="none" w:sz="0" w:space="0" w:color="auto"/>
        <w:left w:val="none" w:sz="0" w:space="0" w:color="auto"/>
        <w:bottom w:val="none" w:sz="0" w:space="0" w:color="auto"/>
        <w:right w:val="none" w:sz="0" w:space="0" w:color="auto"/>
      </w:divBdr>
    </w:div>
    <w:div w:id="2133399748">
      <w:bodyDiv w:val="1"/>
      <w:marLeft w:val="0"/>
      <w:marRight w:val="0"/>
      <w:marTop w:val="0"/>
      <w:marBottom w:val="0"/>
      <w:divBdr>
        <w:top w:val="none" w:sz="0" w:space="0" w:color="auto"/>
        <w:left w:val="none" w:sz="0" w:space="0" w:color="auto"/>
        <w:bottom w:val="none" w:sz="0" w:space="0" w:color="auto"/>
        <w:right w:val="none" w:sz="0" w:space="0" w:color="auto"/>
      </w:divBdr>
    </w:div>
    <w:div w:id="213374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5NUHHDQN7SK2-1476151046-22184</_dlc_DocId>
    <_dlc_DocIdUrl xmlns="f166a696-7b5b-4ccd-9f0c-ffde0cceec81">
      <Url>https://ericsson.sharepoint.com/sites/star/_layouts/15/DocIdRedir.aspx?ID=5NUHHDQN7SK2-1476151046-22184</Url>
      <Description>5NUHHDQN7SK2-1476151046-22184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A336CAB0-6D03-43AD-9533-A4A597C48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566F6D-A676-478C-B3DD-334A14CC4090}">
  <ds:schemaRefs>
    <ds:schemaRef ds:uri="Microsoft.SharePoint.Taxonomy.ContentTypeSync"/>
  </ds:schemaRefs>
</ds:datastoreItem>
</file>

<file path=customXml/itemProps4.xml><?xml version="1.0" encoding="utf-8"?>
<ds:datastoreItem xmlns:ds="http://schemas.openxmlformats.org/officeDocument/2006/customXml" ds:itemID="{C2F62C60-168F-4D8C-A0E1-705BBC11217E}">
  <ds:schemaRefs>
    <ds:schemaRef ds:uri="http://schemas.microsoft.com/sharepoint/events"/>
  </ds:schemaRefs>
</ds:datastoreItem>
</file>

<file path=customXml/itemProps5.xml><?xml version="1.0" encoding="utf-8"?>
<ds:datastoreItem xmlns:ds="http://schemas.openxmlformats.org/officeDocument/2006/customXml" ds:itemID="{15E3EE1B-9EE6-4C35-AB23-DA110A7383D9}">
  <ds:schemaRefs>
    <ds:schemaRef ds:uri="http://schemas.microsoft.com/sharepoint/v3/contenttype/forms"/>
  </ds:schemaRefs>
</ds:datastoreItem>
</file>

<file path=customXml/itemProps6.xml><?xml version="1.0" encoding="utf-8"?>
<ds:datastoreItem xmlns:ds="http://schemas.openxmlformats.org/officeDocument/2006/customXml" ds:itemID="{267AE65B-C10C-4CFF-853E-0C070396D05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C822A503-B05A-44E0-AA4B-29BAFDAA7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Pages>
  <Words>2899</Words>
  <Characters>15368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Johan Bergman</cp:lastModifiedBy>
  <cp:revision>257</cp:revision>
  <dcterms:created xsi:type="dcterms:W3CDTF">2019-04-09T05:38:00Z</dcterms:created>
  <dcterms:modified xsi:type="dcterms:W3CDTF">2019-10-15T06:48:00Z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e71190be-49ea-4a78-a7dd-7c81b6f04702</vt:lpwstr>
  </property>
</Properties>
</file>